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7"/>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pPr>
              <w:pStyle w:val="7"/>
              <w:spacing w:line="240" w:lineRule="auto"/>
              <w:ind w:left="3"/>
              <w:jc w:val="both"/>
              <w:rPr>
                <w:rFonts w:hint="default" w:ascii="黑体" w:hAnsi="黑体" w:eastAsia="黑体"/>
                <w:sz w:val="21"/>
                <w:szCs w:val="21"/>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7"/>
              <w:spacing w:line="240" w:lineRule="auto"/>
              <w:jc w:val="left"/>
              <w:rPr>
                <w:rFonts w:hint="eastAsia" w:ascii="Times New Roman" w:hAnsi="Times New Roman" w:eastAsia="黑体"/>
                <w:sz w:val="21"/>
                <w:szCs w:val="21"/>
                <w:lang w:val="en-US" w:eastAsia="zh-CN"/>
              </w:rPr>
            </w:pPr>
            <w:r>
              <w:rPr>
                <w:rFonts w:hint="eastAsia" w:eastAsia="黑体"/>
                <w:sz w:val="21"/>
                <w:szCs w:val="21"/>
                <w:lang w:val="en-US" w:eastAsia="zh-CN"/>
              </w:rPr>
              <w:t>CCS</w:t>
            </w:r>
          </w:p>
        </w:tc>
        <w:tc>
          <w:tcPr>
            <w:tcW w:w="8855" w:type="dxa"/>
          </w:tcPr>
          <w:p>
            <w:pPr>
              <w:pStyle w:val="7"/>
              <w:spacing w:line="240" w:lineRule="auto"/>
              <w:ind w:left="3"/>
              <w:jc w:val="both"/>
              <w:rPr>
                <w:rFonts w:hint="default" w:ascii="黑体" w:hAnsi="黑体" w:eastAsia="黑体"/>
                <w:sz w:val="21"/>
                <w:szCs w:val="21"/>
                <w:lang w:val="en-US" w:eastAsia="zh-CN"/>
              </w:rPr>
            </w:pPr>
          </w:p>
        </w:tc>
      </w:tr>
    </w:tbl>
    <w:p/>
    <w:p>
      <w:pPr>
        <w:rPr>
          <w:rFonts w:ascii="黑体" w:hAnsi="宋体" w:eastAsia="黑体" w:cs="Times New Roman"/>
          <w:snapToGrid/>
          <w:color w:val="auto"/>
          <w:spacing w:val="-40"/>
          <w:sz w:val="52"/>
          <w:szCs w:val="52"/>
          <w:lang w:eastAsia="zh-CN"/>
        </w:rPr>
      </w:pPr>
    </w:p>
    <w:p>
      <w:pPr>
        <w:rPr>
          <w:rFonts w:ascii="黑体" w:hAnsi="宋体" w:eastAsia="黑体" w:cs="Times New Roman"/>
          <w:snapToGrid/>
          <w:color w:val="auto"/>
          <w:spacing w:val="-40"/>
          <w:sz w:val="52"/>
          <w:szCs w:val="52"/>
          <w:lang w:eastAsia="zh-CN"/>
        </w:rPr>
      </w:pPr>
      <w:r>
        <w:rPr>
          <w:rFonts w:hint="eastAsia" w:ascii="黑体" w:hAnsi="宋体" w:eastAsia="黑体" w:cs="Times New Roman"/>
          <w:snapToGrid/>
          <w:color w:val="auto"/>
          <w:spacing w:val="-40"/>
          <w:sz w:val="52"/>
          <w:szCs w:val="52"/>
          <w:lang w:eastAsia="zh-CN"/>
        </w:rPr>
        <w:t>团            体          标          准</w:t>
      </w:r>
      <w:bookmarkStart w:id="46" w:name="_GoBack"/>
      <w:bookmarkEnd w:id="46"/>
    </w:p>
    <w:p/>
    <w:p>
      <w:r>
        <w:drawing>
          <wp:anchor distT="0" distB="0" distL="0" distR="0" simplePos="0" relativeHeight="251660288" behindDoc="0" locked="0" layoutInCell="0" allowOverlap="1">
            <wp:simplePos x="0" y="0"/>
            <wp:positionH relativeFrom="page">
              <wp:posOffset>875665</wp:posOffset>
            </wp:positionH>
            <wp:positionV relativeFrom="page">
              <wp:posOffset>9246870</wp:posOffset>
            </wp:positionV>
            <wp:extent cx="6119495" cy="952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6"/>
                    <a:stretch>
                      <a:fillRect/>
                    </a:stretch>
                  </pic:blipFill>
                  <pic:spPr>
                    <a:xfrm>
                      <a:off x="0" y="0"/>
                      <a:ext cx="6119494" cy="9525"/>
                    </a:xfrm>
                    <a:prstGeom prst="rect">
                      <a:avLst/>
                    </a:prstGeom>
                  </pic:spPr>
                </pic:pic>
              </a:graphicData>
            </a:graphic>
          </wp:anchor>
        </w:drawing>
      </w:r>
    </w:p>
    <w:p>
      <w:pPr>
        <w:rPr>
          <w:lang w:eastAsia="zh-CN"/>
        </w:rPr>
      </w:pPr>
    </w:p>
    <w:p>
      <w:pPr>
        <w:pStyle w:val="20"/>
        <w:framePr w:w="9155" w:wrap="around" w:x="1550" w:y="3223"/>
        <w:ind w:right="105"/>
        <w:rPr>
          <w:rFonts w:hint="eastAsia" w:hAnsi="黑体" w:eastAsia="黑体" w:cs="黑体"/>
          <w:color w:val="000000"/>
          <w:lang w:eastAsia="zh-CN"/>
        </w:rPr>
      </w:pPr>
      <w:r>
        <w:rPr>
          <w:rFonts w:hint="eastAsia" w:hAnsi="黑体" w:cs="黑体"/>
          <w:color w:val="000000"/>
        </w:rPr>
        <w:t>T/SYAX 000X—202</w:t>
      </w:r>
      <w:r>
        <w:rPr>
          <w:rFonts w:hint="eastAsia" w:hAnsi="黑体" w:cs="黑体"/>
          <w:color w:val="000000"/>
          <w:lang w:val="en-US" w:eastAsia="zh-CN"/>
        </w:rPr>
        <w:t>X</w:t>
      </w:r>
    </w:p>
    <w:p>
      <w:pPr>
        <w:rPr>
          <w:lang w:eastAsia="zh-CN"/>
        </w:rPr>
      </w:pPr>
    </w:p>
    <w:p>
      <w:pPr>
        <w:tabs>
          <w:tab w:val="left" w:pos="8882"/>
        </w:tabs>
        <w:rPr>
          <w:lang w:eastAsia="zh-CN"/>
        </w:rPr>
      </w:pPr>
      <w:r>
        <w:rPr>
          <w:rFonts w:hint="eastAsia"/>
          <w:lang w:eastAsia="zh-CN"/>
        </w:rPr>
        <w:tab/>
      </w:r>
    </w:p>
    <w:p>
      <w:pPr>
        <w:framePr w:wrap="around" w:vAnchor="page" w:hAnchor="page" w:x="2119" w:y="6670"/>
        <w:widowControl w:val="0"/>
        <w:kinsoku/>
        <w:autoSpaceDE/>
        <w:autoSpaceDN/>
        <w:adjustRightInd/>
        <w:snapToGrid/>
        <w:ind w:firstLine="1040" w:firstLineChars="200"/>
        <w:jc w:val="both"/>
        <w:textAlignment w:val="auto"/>
        <w:rPr>
          <w:rFonts w:ascii="黑体" w:hAnsi="Times New Roman" w:eastAsia="黑体" w:cs="Times New Roman"/>
          <w:snapToGrid/>
          <w:sz w:val="52"/>
          <w:szCs w:val="20"/>
          <w:lang w:eastAsia="zh-CN"/>
        </w:rPr>
      </w:pPr>
    </w:p>
    <w:p>
      <w:pPr>
        <w:framePr w:wrap="around" w:vAnchor="page" w:hAnchor="page" w:x="2119" w:y="6670"/>
        <w:widowControl w:val="0"/>
        <w:kinsoku/>
        <w:autoSpaceDE/>
        <w:autoSpaceDN/>
        <w:adjustRightInd/>
        <w:snapToGrid/>
        <w:ind w:firstLine="520" w:firstLineChars="100"/>
        <w:jc w:val="both"/>
        <w:textAlignment w:val="auto"/>
        <w:rPr>
          <w:rFonts w:ascii="黑体" w:hAnsi="Times New Roman" w:eastAsia="黑体" w:cs="Times New Roman"/>
          <w:snapToGrid/>
          <w:sz w:val="52"/>
          <w:szCs w:val="20"/>
          <w:lang w:eastAsia="zh-CN"/>
        </w:rPr>
      </w:pPr>
      <w:r>
        <w:rPr>
          <w:rFonts w:hint="eastAsia" w:ascii="黑体" w:hAnsi="Times New Roman" w:eastAsia="黑体" w:cs="Times New Roman"/>
          <w:snapToGrid/>
          <w:sz w:val="52"/>
          <w:szCs w:val="20"/>
          <w:lang w:eastAsia="zh-CN"/>
        </w:rPr>
        <w:t>高桥松饼小作坊生产卫生规范</w:t>
      </w:r>
    </w:p>
    <w:p>
      <w:pPr>
        <w:rPr>
          <w:lang w:eastAsia="zh-CN"/>
        </w:rPr>
      </w:pPr>
    </w:p>
    <w:p>
      <w:pPr>
        <w:rPr>
          <w:lang w:eastAsia="zh-CN"/>
        </w:rPr>
      </w:pPr>
    </w:p>
    <w:tbl>
      <w:tblPr>
        <w:tblStyle w:val="10"/>
        <w:tblW w:w="18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7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56" w:type="dxa"/>
            <w:tcBorders>
              <w:top w:val="nil"/>
              <w:left w:val="nil"/>
              <w:bottom w:val="nil"/>
              <w:right w:val="nil"/>
            </w:tcBorders>
            <w:shd w:val="clear" w:color="auto" w:fill="auto"/>
          </w:tcPr>
          <w:p>
            <w:pPr>
              <w:pStyle w:val="21"/>
              <w:framePr w:wrap="around" w:x="1282" w:y="3873"/>
              <w:jc w:val="both"/>
              <w:rPr>
                <w:rFonts w:ascii="黑体" w:hAnsi="黑体" w:eastAsia="黑体" w:cs="黑体"/>
              </w:rPr>
            </w:pPr>
            <w:bookmarkStart w:id="0" w:name="DT"/>
            <w:r>
              <mc:AlternateContent>
                <mc:Choice Requires="wps">
                  <w:drawing>
                    <wp:anchor distT="0" distB="0" distL="114300" distR="114300" simplePos="0" relativeHeight="251661312" behindDoc="0" locked="0" layoutInCell="1" allowOverlap="1">
                      <wp:simplePos x="0" y="0"/>
                      <wp:positionH relativeFrom="column">
                        <wp:posOffset>-153035</wp:posOffset>
                      </wp:positionH>
                      <wp:positionV relativeFrom="paragraph">
                        <wp:posOffset>122555</wp:posOffset>
                      </wp:positionV>
                      <wp:extent cx="6148070" cy="10795"/>
                      <wp:effectExtent l="0" t="4445" r="11430" b="10160"/>
                      <wp:wrapNone/>
                      <wp:docPr id="2" name="直接连接符 2"/>
                      <wp:cNvGraphicFramePr/>
                      <a:graphic xmlns:a="http://schemas.openxmlformats.org/drawingml/2006/main">
                        <a:graphicData uri="http://schemas.microsoft.com/office/word/2010/wordprocessingShape">
                          <wps:wsp>
                            <wps:cNvCnPr/>
                            <wps:spPr>
                              <a:xfrm>
                                <a:off x="880110" y="2374265"/>
                                <a:ext cx="6148070" cy="10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2.05pt;margin-top:9.65pt;height:0.85pt;width:484.1pt;z-index:251661312;mso-width-relative:page;mso-height-relative:page;" filled="f" stroked="t" coordsize="21600,21600" o:gfxdata="UEsDBAoAAAAAAIdO4kAAAAAAAAAAAAAAAAAEAAAAZHJzL1BLAwQUAAAACACHTuJAYJoCuNcAAAAJ&#10;AQAADwAAAGRycy9kb3ducmV2LnhtbE2PPU/DQAyGdyT+w8lILFV7l7RCbcilA5CNhRbE6iZuEpHz&#10;pbnrB/x63AlG+330+nG+vrhenWgMnWcLycyAIq583XFj4X1bTpegQkSusfdMFr4pwLq4vckxq/2Z&#10;3+i0iY2SEg4ZWmhjHDKtQ9WSwzDzA7Fkez86jDKOja5HPEu563VqzIN22LFcaHGgp5aqr83RWQjl&#10;Bx3Kn0k1MZ/zxlN6eH59QWvv7xLzCCrSJf7BcNUXdSjEaeePXAfVW5imi0RQCVZzUAKsFtfFzkKa&#10;GNBFrv9/UPwCUEsDBBQAAAAIAIdO4kCk042NAAIAAOIDAAAOAAAAZHJzL2Uyb0RvYy54bWytUztu&#10;3DAQ7QPkDgT7rD7x/oTVuvDCafJZIPEBuBQlEeAPHHq1e4lcIEC6pEqZ3reJcwwPqbWdOI2LqCCH&#10;83mc9zhanR+0InvhQVpT02KSUyIMt400XU2vPl2+WlACgZmGKWtETY8C6Pn65YvV4CpR2t6qRniC&#10;IAaqwdW0D8FVWQa8F5rBxDphMNhar1nAo++yxrMB0bXKyjyfZYP1jfOWCwD0bsYgPSH65wDatpVc&#10;bCy/1sKEEdULxQJSgl46oOvUbdsKHj60LYhAVE2RaUgrXoL2Lq7ZesWqzjPXS35qgT2nhSecNJMG&#10;L32A2rDAyLWX/0Bpyb0F24YJtzobiSRFkEWRP9HmY8+cSFxQanAPosP/g+Xv91tPZFPTkhLDND74&#10;7Zefvz5/+33zFdfbH99JGUUaHFSYe2G2/nQCt/WR8aH1Ou7IhRxquljkRYHqHhHx9fysnE1HjcUh&#10;EI7xWXG2yOeYwDGjyOfLFM8ecZyH8EZYTaJRUyVNlIBVbP8WAt6Nqfcp0W3spVQqPaMyZKjpclpO&#10;EZ3haLY4Emhqh/TAdJQw1eHM8+ATIlglm1gdccB3uwvlyZ7FSUnfmNSzRoze5RTdIxtg4Z1tRneR&#10;3/uxtRNMavMv/NjzhkE/1qRQhMISZXCL+o6KRmtnm2MSOvnx6VPiaUzjbP15TtWPv+b6D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CaArjXAAAACQEAAA8AAAAAAAAAAQAgAAAAIgAAAGRycy9kb3du&#10;cmV2LnhtbFBLAQIUABQAAAAIAIdO4kCk042NAAIAAOIDAAAOAAAAAAAAAAEAIAAAACYBAABkcnMv&#10;ZTJvRG9jLnhtbFBLBQYAAAAABgAGAFkBAACYBQAAAAA=&#10;">
                      <v:fill on="f" focussize="0,0"/>
                      <v:stroke color="#000000 [3200]" joinstyle="round"/>
                      <v:imagedata o:title=""/>
                      <o:lock v:ext="edit" aspectratio="f"/>
                    </v:line>
                  </w:pict>
                </mc:Fallback>
              </mc:AlternateContent>
            </w:r>
            <w:r>
              <w:rPr>
                <w:rFonts w:ascii="黑体" w:hAnsi="黑体" w:eastAsia="黑体" w:cs="黑体"/>
              </w:rPr>
              <mc:AlternateContent>
                <mc:Choice Requires="wps">
                  <w:drawing>
                    <wp:anchor distT="0" distB="0" distL="114300" distR="114300" simplePos="0" relativeHeight="251662336" behindDoc="1" locked="0" layoutInCell="1" allowOverlap="1">
                      <wp:simplePos x="0" y="0"/>
                      <wp:positionH relativeFrom="column">
                        <wp:posOffset>4734560</wp:posOffset>
                      </wp:positionH>
                      <wp:positionV relativeFrom="paragraph">
                        <wp:posOffset>34290</wp:posOffset>
                      </wp:positionV>
                      <wp:extent cx="1143000" cy="228600"/>
                      <wp:effectExtent l="0" t="0" r="0" b="0"/>
                      <wp:wrapNone/>
                      <wp:docPr id="5" name="DT"/>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a:noFill/>
                              </a:ln>
                              <a:effectLst/>
                            </wps:spPr>
                            <wps:txbx>
                              <w:txbxContent>
                                <w:p/>
                              </w:txbxContent>
                            </wps:txbx>
                            <wps:bodyPr rot="0" vert="horz" wrap="square" lIns="91440" tIns="45720" rIns="91440" bIns="45720" anchor="t" anchorCtr="0" upright="1">
                              <a:noAutofit/>
                            </wps:bodyPr>
                          </wps:wsp>
                        </a:graphicData>
                      </a:graphic>
                    </wp:anchor>
                  </w:drawing>
                </mc:Choice>
                <mc:Fallback>
                  <w:pict>
                    <v:rect id="DT" o:spid="_x0000_s1026" o:spt="1" style="position:absolute;left:0pt;margin-left:372.8pt;margin-top:2.7pt;height:18pt;width:90pt;z-index:-251654144;mso-width-relative:page;mso-height-relative:page;" fillcolor="#FFFFFF" filled="t" stroked="f" coordsize="21600,21600" o:gfxdata="UEsDBAoAAAAAAIdO4kAAAAAAAAAAAAAAAAAEAAAAZHJzL1BLAwQUAAAACACHTuJAHmDyy9YAAAAI&#10;AQAADwAAAGRycy9kb3ducmV2LnhtbE2PMU/DMBSEdyT+g/WQ2KidkoQ2jdMBqRMw0CKxvsavSUT8&#10;HGKnDf8ed4LxdKe778rtbHtxptF3jjUkCwWCuHam40bDx2H3sALhA7LB3jFp+CEP2+r2psTCuAu/&#10;03kfGhFL2BeooQ1hKKT0dUsW/cINxNE7udFiiHJspBnxEsttL5dK5dJix3GhxYGeW6q/9pPVgHlq&#10;vt9Oj6+HlynHdTOrXfaptL6/S9QGRKA5/IXhih/RoYpMRzex8aLX8JRmeYxqyFIQ0V8vr/qoIU1S&#10;kFUp/x+ofgFQSwMEFAAAAAgAh07iQMCBKa0SAgAAOQQAAA4AAABkcnMvZTJvRG9jLnhtbK1TwW7b&#10;MAy9D9g/CLovtrO064w4RZEgw4BuLdDuA2RZtoXZokYpsbOvHyUnadZdepgPBilSj3yP1PJ27Du2&#10;V+g0mIJns5QzZSRU2jQF//G8/XDDmfPCVKIDowp+UI7frt6/Ww42V3NooasUMgIxLh9swVvvbZ4k&#10;TraqF24GVhkK1oC98ORik1QoBkLvu2SeptfJAFhZBKmco9PNFORHRHwLINS1lmoDctcr4ydUVJ3w&#10;RMm12jq+it3WtZL+oa6d8qwrODH18U9FyC7DP1ktRd6gsK2WxxbEW1p4xakX2lDRM9RGeMF2qP+B&#10;6rVEcFD7mYQ+mYhERYhFlr7S5qkVVkUuJLWzZ9Hd/4OV3/ePyHRV8CvOjOhp4JvnoMpgXU7BJ/uI&#10;gZez9yB/OmZg3QrTqDtEGFolKuolC/nJXxeC4+gqK4dvUBGo2HmIAo019gGQqLMxzuFwnoMaPZN0&#10;mGWLj2lKI5IUm89vrskOJUR+um3R+S8KehaMgiPNOaKL/b3zU+opJXYPna62uuuig0257pDtBe3E&#10;Nn5HdHeZ1pmQbCBcmxCnExW36ljmxHPSy4/lSKnhsITqQPQRpo2j90ZGC/ibs4G2reDu106g4qz7&#10;akjCz9liEdYzOourT3Ny8DJSXkaEkQRVcM/ZZK79tNI7i7ppqVIW1TBwR7LXOiry0tVxWLRRUdPj&#10;9oeVvfRj1suLX/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HmDyy9YAAAAIAQAADwAAAAAAAAAB&#10;ACAAAAAiAAAAZHJzL2Rvd25yZXYueG1sUEsBAhQAFAAAAAgAh07iQMCBKa0SAgAAOQQAAA4AAAAA&#10;AAAAAQAgAAAAJQEAAGRycy9lMm9Eb2MueG1sUEsFBgAAAAAGAAYAWQEAAKkFAAAAAA==&#10;">
                      <v:fill on="t" focussize="0,0"/>
                      <v:stroke on="f"/>
                      <v:imagedata o:title=""/>
                      <o:lock v:ext="edit" aspectratio="f"/>
                      <v:textbox>
                        <w:txbxContent>
                          <w:p/>
                        </w:txbxContent>
                      </v:textbox>
                    </v:rect>
                  </w:pict>
                </mc:Fallback>
              </mc:AlternateContent>
            </w:r>
            <w:bookmarkEnd w:id="0"/>
          </w:p>
        </w:tc>
      </w:tr>
    </w:tbl>
    <w:p>
      <w:pPr>
        <w:jc w:val="center"/>
        <w:rPr>
          <w:sz w:val="32"/>
          <w:szCs w:val="32"/>
          <w:lang w:eastAsia="zh-CN"/>
        </w:rPr>
      </w:pPr>
      <w:r>
        <w:rPr>
          <w:rFonts w:hint="eastAsia"/>
          <w:sz w:val="32"/>
          <w:szCs w:val="32"/>
          <w:lang w:eastAsia="zh-CN"/>
        </w:rPr>
        <w:t>（</w:t>
      </w:r>
      <w:r>
        <w:rPr>
          <w:rFonts w:hint="eastAsia"/>
          <w:sz w:val="32"/>
          <w:szCs w:val="32"/>
          <w:lang w:val="en-US" w:eastAsia="zh-CN"/>
        </w:rPr>
        <w:t>征求意见稿</w:t>
      </w:r>
      <w:r>
        <w:rPr>
          <w:rFonts w:hint="eastAsia"/>
          <w:sz w:val="32"/>
          <w:szCs w:val="32"/>
          <w:lang w:eastAsia="zh-CN"/>
        </w:rPr>
        <w:t>）</w:t>
      </w: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pStyle w:val="25"/>
        <w:framePr w:wrap="around" w:hAnchor="page" w:x="1636" w:y="14041"/>
      </w:pPr>
      <w:r>
        <w:rPr>
          <w:rFonts w:hint="eastAsia" w:ascii="黑体"/>
          <w:szCs w:val="22"/>
        </w:rPr>
        <w:t>2023</w:t>
      </w:r>
      <w:r>
        <w:rPr>
          <w:rFonts w:ascii="黑体"/>
        </w:rPr>
        <w:t>-</w:t>
      </w:r>
      <w:r>
        <w:rPr>
          <w:rFonts w:hint="eastAsia" w:ascii="黑体"/>
          <w:szCs w:val="22"/>
          <w:lang w:val="en-US" w:eastAsia="zh-CN"/>
        </w:rPr>
        <w:t>XX</w:t>
      </w:r>
      <w:r>
        <w:rPr>
          <w:rFonts w:ascii="黑体"/>
        </w:rPr>
        <w:t>-</w:t>
      </w:r>
      <w:r>
        <w:rPr>
          <w:rFonts w:hint="eastAsia" w:ascii="黑体"/>
          <w:szCs w:val="22"/>
          <w:lang w:val="en-US" w:eastAsia="zh-CN"/>
        </w:rPr>
        <w:t>XX</w:t>
      </w:r>
      <w:r>
        <w:rPr>
          <w:rFonts w:hint="eastAsia"/>
        </w:rPr>
        <w:t>发布</w:t>
      </w:r>
      <w:r>
        <mc:AlternateContent>
          <mc:Choice Requires="wps">
            <w:drawing>
              <wp:anchor distT="0" distB="0" distL="114300" distR="114300" simplePos="0" relativeHeight="251663360" behindDoc="0" locked="1" layoutInCell="1" allowOverlap="1">
                <wp:simplePos x="0" y="0"/>
                <wp:positionH relativeFrom="column">
                  <wp:posOffset>-92075</wp:posOffset>
                </wp:positionH>
                <wp:positionV relativeFrom="page">
                  <wp:posOffset>9251315</wp:posOffset>
                </wp:positionV>
                <wp:extent cx="6120130" cy="0"/>
                <wp:effectExtent l="0" t="4445" r="0" b="5080"/>
                <wp:wrapNone/>
                <wp:docPr id="1" name="Line 10"/>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ln>
                        <a:effectLst/>
                      </wps:spPr>
                      <wps:bodyPr/>
                    </wps:wsp>
                  </a:graphicData>
                </a:graphic>
              </wp:anchor>
            </w:drawing>
          </mc:Choice>
          <mc:Fallback>
            <w:pict>
              <v:line id="Line 10" o:spid="_x0000_s1026" o:spt="20" style="position:absolute;left:0pt;margin-left:-7.25pt;margin-top:728.45pt;height:0pt;width:481.9pt;mso-position-vertical-relative:page;z-index:251663360;mso-width-relative:page;mso-height-relative:page;" filled="f" stroked="t" coordsize="21600,21600" o:gfxdata="UEsDBAoAAAAAAIdO4kAAAAAAAAAAAAAAAAAEAAAAZHJzL1BLAwQUAAAACACHTuJAeojV9dkAAAAN&#10;AQAADwAAAGRycy9kb3ducmV2LnhtbE2PTU/DMAyG70j8h8hIXKYt6dZNtDTdAeiNC4NpV68xbUXj&#10;dE32Ab+ecEBwtN9Hrx8X64vtxYlG3znWkMwUCOLamY4bDW+v1fQOhA/IBnvHpOGTPKzL66sCc+PO&#10;/EKnTWhELGGfo4Y2hCGX0tctWfQzNxDH7N2NFkMcx0aaEc+x3PZyrtRKWuw4XmhxoIeW6o/N0Wrw&#10;1ZYO1deknqjdonE0Pzw+P6HWtzeJugcR6BL+YPjRj+pQRqe9O7LxotcwTdJlRGOQLlcZiIhkabYA&#10;sf9dybKQ/78ovwFQSwMEFAAAAAgAh07iQK5yXznOAQAArgMAAA4AAABkcnMvZTJvRG9jLnhtbK1T&#10;TW/bMAy9D9h/EHRfHGdosRlxekjQXbItQLsfoEiyLUwSBVGJnX8/Svlo1116mA+CKJKPfI/08mFy&#10;lh11RAO+5fVszpn2EpTxfct/PT9++sIZJuGVsOB1y08a+cPq44flGBq9gAGs0pERiMdmDC0fUgpN&#10;VaEctBM4g6A9OTuITiQyY1+pKEZCd7ZazOf31QhRhQhSI9Lr5uzkF8T4HkDoOiP1BuTBaZ/OqFFb&#10;kYgSDiYgX5Vuu07L9LPrUCdmW05MUzmpCN33+axWS9H0UYTByEsL4j0tvOHkhPFU9Aa1EUmwQzT/&#10;QDkjIyB0aSbBVWciRRFiUc/faPM0iKALF5Iaw010/H+w8sdxF5lRtAmceeFo4FvjNauLNGPAhiLW&#10;fhczOTn5p7AF+RuZh/UgfK9Li8+nQHl1FrP6KyUbGKjAfvwOimLEIUHRaeqiy5CkAJvKOE63cegp&#10;MUmP9zVp8pkmJa++SjTXxBAxfdPgWL603FLTBVgct5hyI6K5huQ6Hh6NtWXa1rOx5V/vFnclAcEa&#10;lZ05DGO/X9vIjiLvS/kKK/K8Dotw8OpcxPqcp8uqXSpfWeclxGYP6rSLV2lojKW3y8rlPXltFwFf&#10;frPV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HqI1fXZAAAADQEAAA8AAAAAAAAAAQAgAAAAIgAA&#10;AGRycy9kb3ducmV2LnhtbFBLAQIUABQAAAAIAIdO4kCucl85zgEAAK4DAAAOAAAAAAAAAAEAIAAA&#10;ACgBAABkcnMvZTJvRG9jLnhtbFBLBQYAAAAABgAGAFkBAABoBQAAAAA=&#10;">
                <v:fill on="f" focussize="0,0"/>
                <v:stroke color="#000000" joinstyle="round"/>
                <v:imagedata o:title=""/>
                <o:lock v:ext="edit" aspectratio="f"/>
                <w10:anchorlock/>
              </v:line>
            </w:pict>
          </mc:Fallback>
        </mc:AlternateContent>
      </w:r>
    </w:p>
    <w:p>
      <w:pPr>
        <w:rPr>
          <w:lang w:eastAsia="zh-CN"/>
        </w:rPr>
      </w:pPr>
    </w:p>
    <w:p>
      <w:pPr>
        <w:pStyle w:val="27"/>
        <w:framePr w:wrap="around" w:hAnchor="page" w:x="7910" w:y="14095"/>
        <w:tabs>
          <w:tab w:val="left" w:pos="3297"/>
        </w:tabs>
        <w:jc w:val="left"/>
      </w:pPr>
      <w:r>
        <w:rPr>
          <w:rFonts w:hint="eastAsia" w:ascii="黑体"/>
          <w:szCs w:val="22"/>
        </w:rPr>
        <w:t>XXXX</w:t>
      </w:r>
      <w:r>
        <w:rPr>
          <w:rFonts w:ascii="黑体"/>
          <w:szCs w:val="22"/>
        </w:rPr>
        <w:t>-</w:t>
      </w:r>
      <w:r>
        <w:rPr>
          <w:rFonts w:hint="eastAsia" w:ascii="黑体"/>
          <w:szCs w:val="22"/>
        </w:rPr>
        <w:t>X-XX实施</w:t>
      </w:r>
    </w:p>
    <w:p>
      <w:pPr>
        <w:rPr>
          <w:lang w:eastAsia="zh-CN"/>
        </w:rPr>
      </w:pPr>
    </w:p>
    <w:p>
      <w:pPr>
        <w:rPr>
          <w:lang w:eastAsia="zh-CN"/>
        </w:rPr>
      </w:pPr>
    </w:p>
    <w:p>
      <w:pPr>
        <w:rPr>
          <w:lang w:eastAsia="zh-CN"/>
        </w:rPr>
      </w:pPr>
    </w:p>
    <w:p>
      <w:pPr>
        <w:pStyle w:val="22"/>
        <w:framePr w:w="8578" w:wrap="around" w:x="1848" w:y="14840"/>
        <w:jc w:val="both"/>
        <w:rPr>
          <w:szCs w:val="22"/>
        </w:rPr>
      </w:pPr>
      <w:r>
        <w:rPr>
          <w:rFonts w:hint="eastAsia"/>
          <w:szCs w:val="22"/>
        </w:rPr>
        <w:t>上海市浦东新区食品药品安全管理协会  发布</w:t>
      </w:r>
    </w:p>
    <w:p>
      <w:pPr>
        <w:pStyle w:val="22"/>
        <w:framePr w:w="8578" w:wrap="around" w:x="1848" w:y="14840"/>
        <w:jc w:val="both"/>
        <w:rPr>
          <w:szCs w:val="22"/>
        </w:rPr>
      </w:pPr>
    </w:p>
    <w:p>
      <w:pPr>
        <w:pStyle w:val="22"/>
        <w:framePr w:w="8578" w:wrap="around" w:x="1848" w:y="14840"/>
        <w:jc w:val="both"/>
        <w:rPr>
          <w:szCs w:val="22"/>
        </w:rPr>
      </w:pPr>
    </w:p>
    <w:p>
      <w:pPr>
        <w:rPr>
          <w:rFonts w:hint="eastAsia" w:eastAsiaTheme="minorEastAsia"/>
          <w:lang w:eastAsia="zh-CN"/>
        </w:rPr>
        <w:sectPr>
          <w:type w:val="continuous"/>
          <w:pgSz w:w="11906" w:h="16839"/>
          <w:pgMar w:top="1042" w:right="739" w:bottom="0" w:left="1379" w:header="0" w:footer="0" w:gutter="0"/>
          <w:cols w:equalWidth="0" w:num="1">
            <w:col w:w="9788"/>
          </w:cols>
        </w:sectPr>
      </w:pPr>
    </w:p>
    <w:sdt>
      <w:sdtPr>
        <w:rPr>
          <w:sz w:val="21"/>
          <w:szCs w:val="21"/>
          <w:lang w:val="zh-CN"/>
        </w:rPr>
        <w:id w:val="-989097716"/>
        <w:docPartObj>
          <w:docPartGallery w:val="Table of Contents"/>
          <w:docPartUnique/>
        </w:docPartObj>
      </w:sdtPr>
      <w:sdtEndPr>
        <w:rPr>
          <w:rFonts w:ascii="Arial" w:hAnsi="Arial" w:eastAsia="Arial" w:cs="Arial"/>
          <w:b/>
          <w:bCs/>
          <w:snapToGrid w:val="0"/>
          <w:color w:val="000000"/>
          <w:sz w:val="21"/>
          <w:szCs w:val="21"/>
          <w:lang w:val="zh-CN" w:eastAsia="en-US"/>
        </w:rPr>
      </w:sdtEndPr>
      <w:sdtContent>
        <w:p>
          <w:pPr>
            <w:pStyle w:val="35"/>
            <w:tabs>
              <w:tab w:val="left" w:pos="877"/>
              <w:tab w:val="center" w:pos="4706"/>
            </w:tabs>
            <w:rPr>
              <w:sz w:val="21"/>
              <w:szCs w:val="21"/>
              <w:lang w:val="zh-CN"/>
            </w:rPr>
          </w:pPr>
        </w:p>
        <w:p>
          <w:pPr>
            <w:pStyle w:val="35"/>
            <w:tabs>
              <w:tab w:val="left" w:pos="877"/>
              <w:tab w:val="center" w:pos="4706"/>
            </w:tabs>
            <w:rPr>
              <w:sz w:val="21"/>
              <w:szCs w:val="21"/>
              <w:lang w:val="zh-CN"/>
            </w:rPr>
          </w:pPr>
        </w:p>
        <w:p>
          <w:pPr>
            <w:pStyle w:val="35"/>
            <w:tabs>
              <w:tab w:val="left" w:pos="877"/>
              <w:tab w:val="center" w:pos="4706"/>
            </w:tabs>
            <w:rPr>
              <w:sz w:val="21"/>
              <w:szCs w:val="21"/>
              <w:lang w:val="zh-CN"/>
            </w:rPr>
          </w:pPr>
        </w:p>
        <w:p>
          <w:pPr>
            <w:pStyle w:val="35"/>
            <w:tabs>
              <w:tab w:val="left" w:pos="877"/>
              <w:tab w:val="center" w:pos="4706"/>
            </w:tabs>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rPr>
              <w:sz w:val="21"/>
              <w:szCs w:val="21"/>
              <w:lang w:val="zh-CN"/>
            </w:rPr>
          </w:pPr>
        </w:p>
        <w:p>
          <w:pPr>
            <w:pStyle w:val="35"/>
            <w:tabs>
              <w:tab w:val="left" w:pos="877"/>
              <w:tab w:val="center" w:pos="4706"/>
            </w:tabs>
            <w:rPr>
              <w:sz w:val="21"/>
              <w:szCs w:val="21"/>
              <w:lang w:val="zh-CN"/>
            </w:rPr>
          </w:pPr>
        </w:p>
        <w:p>
          <w:pPr>
            <w:pStyle w:val="35"/>
            <w:tabs>
              <w:tab w:val="left" w:pos="877"/>
              <w:tab w:val="center" w:pos="4706"/>
            </w:tabs>
            <w:rPr>
              <w:rFonts w:hint="eastAsia"/>
              <w:b/>
              <w:bCs/>
              <w:sz w:val="21"/>
              <w:szCs w:val="21"/>
              <w:lang w:val="en-US" w:eastAsia="zh-CN"/>
            </w:rPr>
          </w:pPr>
          <w:r>
            <w:rPr>
              <w:sz w:val="21"/>
              <w:szCs w:val="21"/>
              <w:lang w:val="zh-CN"/>
            </w:rPr>
            <w:tab/>
          </w:r>
          <w:r>
            <w:rPr>
              <w:sz w:val="21"/>
              <w:szCs w:val="21"/>
              <w:lang w:val="zh-CN"/>
            </w:rPr>
            <w:tab/>
          </w:r>
          <w:r>
            <w:rPr>
              <w:b/>
              <w:bCs/>
              <w:sz w:val="21"/>
              <w:szCs w:val="21"/>
              <w:lang w:val="zh-CN"/>
            </w:rPr>
            <w:t>目</w:t>
          </w:r>
          <w:r>
            <w:rPr>
              <w:rFonts w:hint="eastAsia"/>
              <w:b/>
              <w:bCs/>
              <w:sz w:val="21"/>
              <w:szCs w:val="21"/>
              <w:lang w:val="zh-CN"/>
            </w:rPr>
            <w:t xml:space="preserve"> </w:t>
          </w:r>
          <w:r>
            <w:rPr>
              <w:b/>
              <w:bCs/>
              <w:sz w:val="21"/>
              <w:szCs w:val="21"/>
              <w:lang w:val="zh-CN"/>
            </w:rPr>
            <w:t xml:space="preserve">      </w:t>
          </w:r>
          <w:r>
            <w:rPr>
              <w:rFonts w:hint="eastAsia"/>
              <w:b/>
              <w:bCs/>
              <w:sz w:val="21"/>
              <w:szCs w:val="21"/>
              <w:lang w:val="en-US" w:eastAsia="zh-CN"/>
            </w:rPr>
            <w:t>次</w:t>
          </w:r>
        </w:p>
        <w:p>
          <w:pPr>
            <w:rPr>
              <w:rFonts w:hint="eastAsia"/>
              <w:lang w:eastAsia="zh-CN"/>
            </w:rPr>
          </w:pP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TOC \o "1-3" \h \z \u </w:instrText>
          </w:r>
          <w:r>
            <w:rPr>
              <w:sz w:val="21"/>
              <w:szCs w:val="21"/>
            </w:rPr>
            <w:fldChar w:fldCharType="separate"/>
          </w:r>
          <w:r>
            <w:rPr>
              <w:sz w:val="21"/>
              <w:szCs w:val="21"/>
            </w:rPr>
            <w:fldChar w:fldCharType="begin"/>
          </w:r>
          <w:r>
            <w:rPr>
              <w:sz w:val="21"/>
              <w:szCs w:val="21"/>
            </w:rPr>
            <w:instrText xml:space="preserve"> HYPERLINK \l "_Toc152662550" </w:instrText>
          </w:r>
          <w:r>
            <w:rPr>
              <w:sz w:val="21"/>
              <w:szCs w:val="21"/>
            </w:rPr>
            <w:fldChar w:fldCharType="separate"/>
          </w:r>
          <w:r>
            <w:rPr>
              <w:rStyle w:val="13"/>
              <w:sz w:val="21"/>
              <w:szCs w:val="21"/>
            </w:rPr>
            <w:t>前    言</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"_Toc152662551" </w:instrText>
          </w:r>
          <w:r>
            <w:rPr>
              <w:sz w:val="21"/>
              <w:szCs w:val="21"/>
            </w:rPr>
            <w:fldChar w:fldCharType="separate"/>
          </w:r>
          <w:r>
            <w:rPr>
              <w:rStyle w:val="13"/>
              <w:sz w:val="21"/>
              <w:szCs w:val="21"/>
            </w:rPr>
            <w:t>1 范围</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"_Toc152662552" </w:instrText>
          </w:r>
          <w:r>
            <w:rPr>
              <w:sz w:val="21"/>
              <w:szCs w:val="21"/>
            </w:rPr>
            <w:fldChar w:fldCharType="separate"/>
          </w:r>
          <w:r>
            <w:rPr>
              <w:rStyle w:val="13"/>
              <w:sz w:val="21"/>
              <w:szCs w:val="21"/>
            </w:rPr>
            <w:t>2 规范性引用文件</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"_Toc152662553" </w:instrText>
          </w:r>
          <w:r>
            <w:rPr>
              <w:sz w:val="21"/>
              <w:szCs w:val="21"/>
            </w:rPr>
            <w:fldChar w:fldCharType="separate"/>
          </w:r>
          <w:r>
            <w:rPr>
              <w:rStyle w:val="13"/>
              <w:sz w:val="21"/>
              <w:szCs w:val="21"/>
            </w:rPr>
            <w:t>3 术语和定义</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"_Toc152662554" </w:instrText>
          </w:r>
          <w:r>
            <w:rPr>
              <w:sz w:val="21"/>
              <w:szCs w:val="21"/>
            </w:rPr>
            <w:fldChar w:fldCharType="separate"/>
          </w:r>
          <w:r>
            <w:rPr>
              <w:rStyle w:val="13"/>
              <w:sz w:val="21"/>
              <w:szCs w:val="21"/>
            </w:rPr>
            <w:t>3.1高桥松饼</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"_Toc152662555" </w:instrText>
          </w:r>
          <w:r>
            <w:rPr>
              <w:sz w:val="21"/>
              <w:szCs w:val="21"/>
            </w:rPr>
            <w:fldChar w:fldCharType="separate"/>
          </w:r>
          <w:r>
            <w:rPr>
              <w:rStyle w:val="13"/>
              <w:sz w:val="21"/>
              <w:szCs w:val="21"/>
            </w:rPr>
            <w:t>3.2 高桥松饼小作坊</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"_Toc152662556" </w:instrText>
          </w:r>
          <w:r>
            <w:rPr>
              <w:sz w:val="21"/>
              <w:szCs w:val="21"/>
            </w:rPr>
            <w:fldChar w:fldCharType="separate"/>
          </w:r>
          <w:r>
            <w:rPr>
              <w:rStyle w:val="13"/>
              <w:sz w:val="21"/>
              <w:szCs w:val="21"/>
            </w:rPr>
            <w:t>4 基本要求</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"_Toc152662557" </w:instrText>
          </w:r>
          <w:r>
            <w:rPr>
              <w:sz w:val="21"/>
              <w:szCs w:val="21"/>
            </w:rPr>
            <w:fldChar w:fldCharType="separate"/>
          </w:r>
          <w:r>
            <w:rPr>
              <w:rStyle w:val="13"/>
              <w:sz w:val="21"/>
              <w:szCs w:val="21"/>
            </w:rPr>
            <w:t>5 生产加工场所</w:t>
          </w:r>
          <w:r>
            <w:rPr>
              <w:sz w:val="21"/>
              <w:szCs w:val="21"/>
            </w:rPr>
            <w:tab/>
          </w:r>
          <w:r>
            <w:rPr>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"_Toc152662558" </w:instrText>
          </w:r>
          <w:r>
            <w:rPr>
              <w:sz w:val="21"/>
              <w:szCs w:val="21"/>
            </w:rPr>
            <w:fldChar w:fldCharType="separate"/>
          </w:r>
          <w:r>
            <w:rPr>
              <w:rStyle w:val="13"/>
              <w:sz w:val="21"/>
              <w:szCs w:val="21"/>
            </w:rPr>
            <w:t>5.1 选址</w:t>
          </w:r>
          <w:r>
            <w:rPr>
              <w:rStyle w:val="13"/>
              <w:sz w:val="21"/>
              <w:szCs w:val="21"/>
            </w:rPr>
            <w:tab/>
          </w:r>
          <w:r>
            <w:rPr>
              <w:rStyle w:val="13"/>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"_Toc152662559" </w:instrText>
          </w:r>
          <w:r>
            <w:rPr>
              <w:sz w:val="21"/>
              <w:szCs w:val="21"/>
            </w:rPr>
            <w:fldChar w:fldCharType="separate"/>
          </w:r>
          <w:r>
            <w:rPr>
              <w:rStyle w:val="13"/>
              <w:sz w:val="21"/>
              <w:szCs w:val="21"/>
            </w:rPr>
            <w:t>5.2 加工场所环境</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"_Toc152662560" </w:instrText>
          </w:r>
          <w:r>
            <w:rPr>
              <w:sz w:val="21"/>
              <w:szCs w:val="21"/>
            </w:rPr>
            <w:fldChar w:fldCharType="separate"/>
          </w:r>
          <w:r>
            <w:rPr>
              <w:rStyle w:val="13"/>
              <w:sz w:val="21"/>
              <w:szCs w:val="21"/>
            </w:rPr>
            <w:t>5.3设计和布局</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"_Toc152662561" </w:instrText>
          </w:r>
          <w:r>
            <w:rPr>
              <w:sz w:val="21"/>
              <w:szCs w:val="21"/>
            </w:rPr>
            <w:fldChar w:fldCharType="separate"/>
          </w:r>
          <w:r>
            <w:rPr>
              <w:rStyle w:val="13"/>
              <w:sz w:val="21"/>
              <w:szCs w:val="21"/>
            </w:rPr>
            <w:t>5.4 建筑内部结构与材料</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"_Toc152662562" </w:instrText>
          </w:r>
          <w:r>
            <w:rPr>
              <w:sz w:val="21"/>
              <w:szCs w:val="21"/>
            </w:rPr>
            <w:fldChar w:fldCharType="separate"/>
          </w:r>
          <w:r>
            <w:rPr>
              <w:rStyle w:val="13"/>
              <w:sz w:val="21"/>
              <w:szCs w:val="21"/>
            </w:rPr>
            <w:t>6 设施与设备</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"_Toc152662563" </w:instrText>
          </w:r>
          <w:r>
            <w:rPr>
              <w:sz w:val="21"/>
              <w:szCs w:val="21"/>
            </w:rPr>
            <w:fldChar w:fldCharType="separate"/>
          </w:r>
          <w:r>
            <w:rPr>
              <w:rStyle w:val="13"/>
              <w:sz w:val="21"/>
              <w:szCs w:val="21"/>
            </w:rPr>
            <w:t>6.1 基本要求</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"_Toc152662564" </w:instrText>
          </w:r>
          <w:r>
            <w:rPr>
              <w:sz w:val="21"/>
              <w:szCs w:val="21"/>
            </w:rPr>
            <w:fldChar w:fldCharType="separate"/>
          </w:r>
          <w:r>
            <w:rPr>
              <w:rStyle w:val="13"/>
              <w:sz w:val="21"/>
              <w:szCs w:val="21"/>
            </w:rPr>
            <w:t>6.2 供水设施</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"_Toc152662565" </w:instrText>
          </w:r>
          <w:r>
            <w:rPr>
              <w:sz w:val="21"/>
              <w:szCs w:val="21"/>
            </w:rPr>
            <w:fldChar w:fldCharType="separate"/>
          </w:r>
          <w:r>
            <w:rPr>
              <w:rStyle w:val="13"/>
              <w:sz w:val="21"/>
              <w:szCs w:val="21"/>
            </w:rPr>
            <w:t>6.3 排水设施</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"_Toc152662566" </w:instrText>
          </w:r>
          <w:r>
            <w:rPr>
              <w:sz w:val="21"/>
              <w:szCs w:val="21"/>
            </w:rPr>
            <w:fldChar w:fldCharType="separate"/>
          </w:r>
          <w:r>
            <w:rPr>
              <w:rStyle w:val="13"/>
              <w:sz w:val="21"/>
              <w:szCs w:val="21"/>
            </w:rPr>
            <w:t>6.4 清洁消毒设施</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"_Toc152662567" </w:instrText>
          </w:r>
          <w:r>
            <w:rPr>
              <w:sz w:val="21"/>
              <w:szCs w:val="21"/>
            </w:rPr>
            <w:fldChar w:fldCharType="separate"/>
          </w:r>
          <w:r>
            <w:rPr>
              <w:rStyle w:val="13"/>
              <w:sz w:val="21"/>
              <w:szCs w:val="21"/>
            </w:rPr>
            <w:t>6.5 个人卫生设施</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"_Toc152662568" </w:instrText>
          </w:r>
          <w:r>
            <w:rPr>
              <w:sz w:val="21"/>
              <w:szCs w:val="21"/>
            </w:rPr>
            <w:fldChar w:fldCharType="separate"/>
          </w:r>
          <w:r>
            <w:rPr>
              <w:rStyle w:val="13"/>
              <w:sz w:val="21"/>
              <w:szCs w:val="21"/>
            </w:rPr>
            <w:t>6.6 通风和照明设施</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"_Toc152662569" </w:instrText>
          </w:r>
          <w:r>
            <w:rPr>
              <w:sz w:val="21"/>
              <w:szCs w:val="21"/>
            </w:rPr>
            <w:fldChar w:fldCharType="separate"/>
          </w:r>
          <w:r>
            <w:rPr>
              <w:rStyle w:val="13"/>
              <w:sz w:val="21"/>
              <w:szCs w:val="21"/>
            </w:rPr>
            <w:t>6.7 废弃物和仓储设施</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"_Toc152662570" </w:instrText>
          </w:r>
          <w:r>
            <w:rPr>
              <w:sz w:val="21"/>
              <w:szCs w:val="21"/>
            </w:rPr>
            <w:fldChar w:fldCharType="separate"/>
          </w:r>
          <w:r>
            <w:rPr>
              <w:rStyle w:val="13"/>
              <w:sz w:val="21"/>
              <w:szCs w:val="21"/>
            </w:rPr>
            <w:t>6.8 设施材质</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"_Toc152662571" </w:instrText>
          </w:r>
          <w:r>
            <w:rPr>
              <w:sz w:val="21"/>
              <w:szCs w:val="21"/>
            </w:rPr>
            <w:fldChar w:fldCharType="separate"/>
          </w:r>
          <w:r>
            <w:rPr>
              <w:rStyle w:val="13"/>
              <w:sz w:val="21"/>
              <w:szCs w:val="21"/>
            </w:rPr>
            <w:t>6.9 保养和维护</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"_Toc152662572" </w:instrText>
          </w:r>
          <w:r>
            <w:rPr>
              <w:sz w:val="21"/>
              <w:szCs w:val="21"/>
            </w:rPr>
            <w:fldChar w:fldCharType="separate"/>
          </w:r>
          <w:r>
            <w:rPr>
              <w:rStyle w:val="13"/>
              <w:sz w:val="21"/>
              <w:szCs w:val="21"/>
            </w:rPr>
            <w:t>7 卫生管理</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"_Toc152662573" </w:instrText>
          </w:r>
          <w:r>
            <w:rPr>
              <w:sz w:val="21"/>
              <w:szCs w:val="21"/>
            </w:rPr>
            <w:fldChar w:fldCharType="separate"/>
          </w:r>
          <w:r>
            <w:rPr>
              <w:rStyle w:val="13"/>
              <w:sz w:val="21"/>
              <w:szCs w:val="21"/>
            </w:rPr>
            <w:t>7.1  设施设备、工具及容器卫生管理</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"_Toc152662574" </w:instrText>
          </w:r>
          <w:r>
            <w:rPr>
              <w:sz w:val="21"/>
              <w:szCs w:val="21"/>
            </w:rPr>
            <w:fldChar w:fldCharType="separate"/>
          </w:r>
          <w:r>
            <w:rPr>
              <w:rStyle w:val="13"/>
              <w:sz w:val="21"/>
              <w:szCs w:val="21"/>
            </w:rPr>
            <w:t>7.2  厂房及设施卫生管理</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"_Toc152662575" </w:instrText>
          </w:r>
          <w:r>
            <w:rPr>
              <w:sz w:val="21"/>
              <w:szCs w:val="21"/>
            </w:rPr>
            <w:fldChar w:fldCharType="separate"/>
          </w:r>
          <w:r>
            <w:rPr>
              <w:rStyle w:val="13"/>
              <w:sz w:val="21"/>
              <w:szCs w:val="21"/>
            </w:rPr>
            <w:t>7.3  食品加工人员健康管理与卫生要求</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"_Toc152662576" </w:instrText>
          </w:r>
          <w:r>
            <w:rPr>
              <w:sz w:val="21"/>
              <w:szCs w:val="21"/>
            </w:rPr>
            <w:fldChar w:fldCharType="separate"/>
          </w:r>
          <w:r>
            <w:rPr>
              <w:rStyle w:val="13"/>
              <w:sz w:val="21"/>
              <w:szCs w:val="21"/>
            </w:rPr>
            <w:t>7.4 虫害控制</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"_Toc152662577" </w:instrText>
          </w:r>
          <w:r>
            <w:rPr>
              <w:sz w:val="21"/>
              <w:szCs w:val="21"/>
            </w:rPr>
            <w:fldChar w:fldCharType="separate"/>
          </w:r>
          <w:r>
            <w:rPr>
              <w:rStyle w:val="13"/>
              <w:sz w:val="21"/>
              <w:szCs w:val="21"/>
            </w:rPr>
            <w:t>7.5 废弃物控制</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"_Toc152662578" </w:instrText>
          </w:r>
          <w:r>
            <w:rPr>
              <w:sz w:val="21"/>
              <w:szCs w:val="21"/>
            </w:rPr>
            <w:fldChar w:fldCharType="separate"/>
          </w:r>
          <w:r>
            <w:rPr>
              <w:rStyle w:val="13"/>
              <w:sz w:val="21"/>
              <w:szCs w:val="21"/>
            </w:rPr>
            <w:t>8 食品原料和食品添加剂</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"_Toc152662579" </w:instrText>
          </w:r>
          <w:r>
            <w:rPr>
              <w:sz w:val="21"/>
              <w:szCs w:val="21"/>
            </w:rPr>
            <w:fldChar w:fldCharType="separate"/>
          </w:r>
          <w:r>
            <w:rPr>
              <w:rStyle w:val="13"/>
              <w:sz w:val="21"/>
              <w:szCs w:val="21"/>
            </w:rPr>
            <w:t>8.1 基本要求</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"_Toc152662580" </w:instrText>
          </w:r>
          <w:r>
            <w:rPr>
              <w:sz w:val="21"/>
              <w:szCs w:val="21"/>
            </w:rPr>
            <w:fldChar w:fldCharType="separate"/>
          </w:r>
          <w:r>
            <w:rPr>
              <w:rStyle w:val="13"/>
              <w:sz w:val="21"/>
              <w:szCs w:val="21"/>
            </w:rPr>
            <w:t>8.2 进货查验</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"_Toc152662581" </w:instrText>
          </w:r>
          <w:r>
            <w:rPr>
              <w:sz w:val="21"/>
              <w:szCs w:val="21"/>
            </w:rPr>
            <w:fldChar w:fldCharType="separate"/>
          </w:r>
          <w:r>
            <w:rPr>
              <w:rStyle w:val="13"/>
              <w:sz w:val="21"/>
              <w:szCs w:val="21"/>
            </w:rPr>
            <w:t>8.3 食品添加剂使用</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"_Toc152662582" </w:instrText>
          </w:r>
          <w:r>
            <w:rPr>
              <w:sz w:val="21"/>
              <w:szCs w:val="21"/>
            </w:rPr>
            <w:fldChar w:fldCharType="separate"/>
          </w:r>
          <w:r>
            <w:rPr>
              <w:rStyle w:val="13"/>
              <w:sz w:val="21"/>
              <w:szCs w:val="21"/>
            </w:rPr>
            <w:t>8.4 原辅材料贮存</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"_Toc152662583" </w:instrText>
          </w:r>
          <w:r>
            <w:rPr>
              <w:sz w:val="21"/>
              <w:szCs w:val="21"/>
            </w:rPr>
            <w:fldChar w:fldCharType="separate"/>
          </w:r>
          <w:r>
            <w:rPr>
              <w:rStyle w:val="13"/>
              <w:sz w:val="21"/>
              <w:szCs w:val="21"/>
            </w:rPr>
            <w:t>9 生产过程控制</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"_Toc152662584" </w:instrText>
          </w:r>
          <w:r>
            <w:rPr>
              <w:sz w:val="21"/>
              <w:szCs w:val="21"/>
            </w:rPr>
            <w:fldChar w:fldCharType="separate"/>
          </w:r>
          <w:r>
            <w:rPr>
              <w:rStyle w:val="13"/>
              <w:sz w:val="21"/>
              <w:szCs w:val="21"/>
            </w:rPr>
            <w:t>9.1 基本要求</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"_Toc152662585" </w:instrText>
          </w:r>
          <w:r>
            <w:rPr>
              <w:sz w:val="21"/>
              <w:szCs w:val="21"/>
            </w:rPr>
            <w:fldChar w:fldCharType="separate"/>
          </w:r>
          <w:r>
            <w:rPr>
              <w:rStyle w:val="13"/>
              <w:sz w:val="21"/>
              <w:szCs w:val="21"/>
            </w:rPr>
            <w:t>9.2 高桥松饼生产工艺</w:t>
          </w:r>
          <w:r>
            <w:rPr>
              <w:sz w:val="21"/>
              <w:szCs w:val="21"/>
            </w:rPr>
            <w:tab/>
          </w:r>
          <w:r>
            <w:rPr>
              <w:sz w:val="21"/>
              <w:szCs w:val="21"/>
            </w:rPr>
            <w:fldChar w:fldCharType="end"/>
          </w:r>
        </w:p>
        <w:p>
          <w:pPr>
            <w:pStyle w:val="9"/>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"_Toc152662586" </w:instrText>
          </w:r>
          <w:r>
            <w:rPr>
              <w:sz w:val="21"/>
              <w:szCs w:val="21"/>
            </w:rPr>
            <w:fldChar w:fldCharType="separate"/>
          </w:r>
          <w:r>
            <w:rPr>
              <w:rStyle w:val="13"/>
              <w:sz w:val="21"/>
              <w:szCs w:val="21"/>
            </w:rPr>
            <w:t>9.3 高桥松饼关键工序和质量控制点</w:t>
          </w:r>
          <w:r>
            <w:rPr>
              <w:sz w:val="21"/>
              <w:szCs w:val="21"/>
            </w:rPr>
            <w:tab/>
          </w:r>
          <w:r>
            <w:rPr>
              <w:sz w:val="21"/>
              <w:szCs w:val="21"/>
            </w:rPr>
            <w:fldChar w:fldCharType="end"/>
          </w:r>
        </w:p>
        <w:p>
          <w:pPr>
            <w:pStyle w:val="9"/>
            <w:tabs>
              <w:tab w:val="right" w:leader="dot" w:pos="9402"/>
            </w:tabs>
            <w:rPr>
              <w:rStyle w:val="13"/>
              <w:sz w:val="21"/>
              <w:szCs w:val="21"/>
            </w:rPr>
          </w:pPr>
          <w:r>
            <w:rPr>
              <w:sz w:val="21"/>
              <w:szCs w:val="21"/>
            </w:rPr>
            <w:fldChar w:fldCharType="begin"/>
          </w:r>
          <w:r>
            <w:rPr>
              <w:sz w:val="21"/>
              <w:szCs w:val="21"/>
            </w:rPr>
            <w:instrText xml:space="preserve"> HYPERLINK \l "_Toc152662587" </w:instrText>
          </w:r>
          <w:r>
            <w:rPr>
              <w:sz w:val="21"/>
              <w:szCs w:val="21"/>
            </w:rPr>
            <w:fldChar w:fldCharType="separate"/>
          </w:r>
          <w:r>
            <w:rPr>
              <w:rStyle w:val="13"/>
              <w:sz w:val="21"/>
              <w:szCs w:val="21"/>
            </w:rPr>
            <w:t>9.4 包装和标识</w:t>
          </w:r>
          <w:r>
            <w:rPr>
              <w:rStyle w:val="13"/>
              <w:sz w:val="21"/>
              <w:szCs w:val="21"/>
            </w:rPr>
            <w:tab/>
          </w:r>
          <w:r>
            <w:rPr>
              <w:rStyle w:val="13"/>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"_Toc152662588" </w:instrText>
          </w:r>
          <w:r>
            <w:rPr>
              <w:sz w:val="21"/>
              <w:szCs w:val="21"/>
            </w:rPr>
            <w:fldChar w:fldCharType="separate"/>
          </w:r>
          <w:r>
            <w:rPr>
              <w:rStyle w:val="13"/>
              <w:sz w:val="21"/>
              <w:szCs w:val="21"/>
            </w:rPr>
            <w:t>10 检验</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"_Toc152662589" </w:instrText>
          </w:r>
          <w:r>
            <w:rPr>
              <w:sz w:val="21"/>
              <w:szCs w:val="21"/>
            </w:rPr>
            <w:fldChar w:fldCharType="separate"/>
          </w:r>
          <w:r>
            <w:rPr>
              <w:rStyle w:val="13"/>
              <w:sz w:val="21"/>
              <w:szCs w:val="21"/>
            </w:rPr>
            <w:t>11 贮存和运输管理</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"_Toc152662590" </w:instrText>
          </w:r>
          <w:r>
            <w:rPr>
              <w:sz w:val="21"/>
              <w:szCs w:val="21"/>
            </w:rPr>
            <w:fldChar w:fldCharType="separate"/>
          </w:r>
          <w:r>
            <w:rPr>
              <w:rStyle w:val="13"/>
              <w:sz w:val="21"/>
              <w:szCs w:val="21"/>
            </w:rPr>
            <w:t>12 产品召回管理</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"_Toc152662591" </w:instrText>
          </w:r>
          <w:r>
            <w:rPr>
              <w:sz w:val="21"/>
              <w:szCs w:val="21"/>
            </w:rPr>
            <w:fldChar w:fldCharType="separate"/>
          </w:r>
          <w:r>
            <w:rPr>
              <w:rStyle w:val="13"/>
              <w:sz w:val="21"/>
              <w:szCs w:val="21"/>
            </w:rPr>
            <w:t>13 人员培训</w:t>
          </w:r>
          <w:r>
            <w:rPr>
              <w:sz w:val="21"/>
              <w:szCs w:val="21"/>
            </w:rPr>
            <w:tab/>
          </w:r>
          <w:r>
            <w:rPr>
              <w:sz w:val="21"/>
              <w:szCs w:val="21"/>
            </w:rPr>
            <w:fldChar w:fldCharType="end"/>
          </w:r>
        </w:p>
        <w:p>
          <w:pPr>
            <w:pStyle w:val="8"/>
            <w:tabs>
              <w:tab w:val="right" w:leader="dot" w:pos="9402"/>
            </w:tabs>
            <w:rPr>
              <w:rFonts w:cstheme="minorBidi"/>
              <w:kern w:val="2"/>
              <w:sz w:val="21"/>
              <w:szCs w:val="21"/>
              <w14:ligatures w14:val="standardContextual"/>
            </w:rPr>
          </w:pPr>
          <w:r>
            <w:rPr>
              <w:sz w:val="21"/>
              <w:szCs w:val="21"/>
            </w:rPr>
            <w:fldChar w:fldCharType="begin"/>
          </w:r>
          <w:r>
            <w:rPr>
              <w:sz w:val="21"/>
              <w:szCs w:val="21"/>
            </w:rPr>
            <w:instrText xml:space="preserve"> HYPERLINK \l "_Toc152662592" </w:instrText>
          </w:r>
          <w:r>
            <w:rPr>
              <w:sz w:val="21"/>
              <w:szCs w:val="21"/>
            </w:rPr>
            <w:fldChar w:fldCharType="separate"/>
          </w:r>
          <w:r>
            <w:rPr>
              <w:rStyle w:val="13"/>
              <w:sz w:val="21"/>
              <w:szCs w:val="21"/>
            </w:rPr>
            <w:t>14 管理制度及记录</w:t>
          </w:r>
          <w:r>
            <w:rPr>
              <w:sz w:val="21"/>
              <w:szCs w:val="21"/>
            </w:rPr>
            <w:tab/>
          </w:r>
          <w:r>
            <w:rPr>
              <w:sz w:val="21"/>
              <w:szCs w:val="21"/>
            </w:rPr>
            <w:fldChar w:fldCharType="end"/>
          </w:r>
        </w:p>
        <w:p>
          <w:pPr>
            <w:rPr>
              <w:rFonts w:hint="eastAsia"/>
              <w:sz w:val="21"/>
              <w:szCs w:val="21"/>
            </w:rPr>
          </w:pPr>
          <w:r>
            <w:rPr>
              <w:b/>
              <w:bCs/>
              <w:sz w:val="21"/>
              <w:szCs w:val="21"/>
              <w:lang w:val="zh-CN"/>
            </w:rPr>
            <w:fldChar w:fldCharType="end"/>
          </w:r>
        </w:p>
      </w:sdtContent>
    </w:sdt>
    <w:p>
      <w:pPr>
        <w:pStyle w:val="29"/>
        <w:tabs>
          <w:tab w:val="left" w:pos="1640"/>
          <w:tab w:val="center" w:pos="4677"/>
        </w:tabs>
      </w:pPr>
      <w:bookmarkStart w:id="1" w:name="_Toc152662550"/>
      <w:r>
        <w:rPr>
          <w:rFonts w:hint="eastAsia"/>
        </w:rPr>
        <w:t>前    言</w:t>
      </w:r>
      <w:bookmarkEnd w:id="1"/>
    </w:p>
    <w:p>
      <w:pPr>
        <w:rPr>
          <w:lang w:eastAsia="zh-CN"/>
        </w:rPr>
      </w:pPr>
    </w:p>
    <w:p>
      <w:pPr>
        <w:widowControl w:val="0"/>
        <w:kinsoku/>
        <w:autoSpaceDE/>
        <w:autoSpaceDN/>
        <w:adjustRightInd/>
        <w:snapToGrid/>
        <w:spacing w:line="440" w:lineRule="exact"/>
        <w:ind w:firstLine="420"/>
        <w:jc w:val="both"/>
        <w:textAlignment w:val="auto"/>
        <w:rPr>
          <w:rFonts w:ascii="宋体" w:hAnsi="宋体" w:eastAsia="宋体" w:cs="Times New Roman"/>
          <w:snapToGrid/>
          <w:kern w:val="2"/>
          <w:lang w:eastAsia="zh-CN"/>
        </w:rPr>
      </w:pPr>
    </w:p>
    <w:p>
      <w:pPr>
        <w:widowControl w:val="0"/>
        <w:kinsoku/>
        <w:autoSpaceDE/>
        <w:autoSpaceDN/>
        <w:adjustRightInd/>
        <w:snapToGrid/>
        <w:spacing w:line="440" w:lineRule="exact"/>
        <w:ind w:firstLine="420"/>
        <w:jc w:val="both"/>
        <w:textAlignment w:val="auto"/>
        <w:rPr>
          <w:rFonts w:hint="eastAsia" w:ascii="宋体" w:hAnsi="宋体" w:eastAsia="宋体" w:cs="Times New Roman"/>
          <w:snapToGrid/>
          <w:kern w:val="2"/>
          <w:lang w:eastAsia="zh-CN"/>
        </w:rPr>
      </w:pPr>
      <w:r>
        <w:rPr>
          <w:rFonts w:hint="eastAsia" w:ascii="宋体" w:hAnsi="宋体" w:eastAsia="宋体" w:cs="Times New Roman"/>
          <w:snapToGrid/>
          <w:kern w:val="2"/>
          <w:lang w:eastAsia="zh-CN"/>
        </w:rPr>
        <w:t>本文件依据 GB/T 1.1-2020 《标准化工作导则  第1部分：标准化文件的结构和起草规则》 的规定起草。</w:t>
      </w:r>
    </w:p>
    <w:p>
      <w:pPr>
        <w:widowControl w:val="0"/>
        <w:kinsoku/>
        <w:autoSpaceDE/>
        <w:autoSpaceDN/>
        <w:adjustRightInd/>
        <w:snapToGrid/>
        <w:spacing w:line="440" w:lineRule="exact"/>
        <w:ind w:firstLine="420"/>
        <w:jc w:val="both"/>
        <w:textAlignment w:val="auto"/>
        <w:rPr>
          <w:rFonts w:hint="eastAsia" w:ascii="宋体" w:hAnsi="宋体" w:eastAsia="宋体" w:cs="Times New Roman"/>
          <w:snapToGrid/>
          <w:kern w:val="2"/>
          <w:lang w:eastAsia="zh-CN"/>
        </w:rPr>
      </w:pPr>
      <w:r>
        <w:rPr>
          <w:rFonts w:hint="eastAsia" w:ascii="宋体" w:hAnsi="宋体" w:eastAsia="宋体" w:cs="Times New Roman"/>
          <w:snapToGrid/>
          <w:kern w:val="2"/>
          <w:lang w:val="en-US" w:eastAsia="zh-CN"/>
        </w:rPr>
        <w:t>本文件</w:t>
      </w:r>
      <w:r>
        <w:rPr>
          <w:rFonts w:hint="eastAsia" w:ascii="宋体" w:hAnsi="宋体" w:eastAsia="宋体" w:cs="Times New Roman"/>
          <w:snapToGrid/>
          <w:kern w:val="2"/>
          <w:lang w:eastAsia="zh-CN"/>
        </w:rPr>
        <w:t>贯彻执行GB 14881《食 品安全国家标准 食品生产通用卫生规范》，</w:t>
      </w:r>
      <w:r>
        <w:rPr>
          <w:rFonts w:hint="eastAsia" w:ascii="宋体" w:hAnsi="宋体" w:eastAsia="宋体" w:cs="Times New Roman"/>
          <w:snapToGrid/>
          <w:kern w:val="2"/>
          <w:lang w:val="en-US" w:eastAsia="zh-CN"/>
        </w:rPr>
        <w:t>同时结合生产实际。</w:t>
      </w:r>
    </w:p>
    <w:p>
      <w:pPr>
        <w:widowControl w:val="0"/>
        <w:kinsoku/>
        <w:autoSpaceDE/>
        <w:autoSpaceDN/>
        <w:adjustRightInd/>
        <w:snapToGrid/>
        <w:spacing w:line="440" w:lineRule="exact"/>
        <w:ind w:firstLine="420"/>
        <w:jc w:val="both"/>
        <w:textAlignment w:val="auto"/>
        <w:rPr>
          <w:rFonts w:ascii="宋体" w:hAnsi="宋体" w:eastAsia="宋体" w:cs="Times New Roman"/>
          <w:snapToGrid/>
          <w:kern w:val="2"/>
          <w:lang w:eastAsia="zh-CN"/>
        </w:rPr>
      </w:pPr>
      <w:r>
        <w:rPr>
          <w:rFonts w:hint="eastAsia" w:ascii="宋体" w:hAnsi="宋体" w:eastAsia="宋体" w:cs="Times New Roman"/>
          <w:snapToGrid/>
          <w:kern w:val="2"/>
          <w:lang w:eastAsia="zh-CN"/>
        </w:rPr>
        <w:t>本文件由上海浦东高桥食品厂提出。</w:t>
      </w:r>
    </w:p>
    <w:p>
      <w:pPr>
        <w:widowControl w:val="0"/>
        <w:kinsoku/>
        <w:autoSpaceDE/>
        <w:autoSpaceDN/>
        <w:adjustRightInd/>
        <w:snapToGrid/>
        <w:spacing w:line="440" w:lineRule="exact"/>
        <w:ind w:firstLine="420"/>
        <w:jc w:val="both"/>
        <w:textAlignment w:val="auto"/>
        <w:rPr>
          <w:rFonts w:ascii="宋体" w:hAnsi="宋体" w:eastAsia="宋体" w:cs="Times New Roman"/>
          <w:snapToGrid/>
          <w:kern w:val="2"/>
          <w:lang w:eastAsia="zh-CN"/>
        </w:rPr>
      </w:pPr>
      <w:r>
        <w:rPr>
          <w:rFonts w:hint="eastAsia" w:ascii="宋体" w:hAnsi="宋体" w:eastAsia="宋体" w:cs="Times New Roman"/>
          <w:snapToGrid/>
          <w:kern w:val="2"/>
          <w:lang w:eastAsia="zh-CN"/>
        </w:rPr>
        <w:t>本文件由上海市浦东新区食品药品安全管理协会归口。</w:t>
      </w:r>
    </w:p>
    <w:p>
      <w:pPr>
        <w:widowControl w:val="0"/>
        <w:kinsoku/>
        <w:autoSpaceDE/>
        <w:autoSpaceDN/>
        <w:adjustRightInd/>
        <w:snapToGrid/>
        <w:spacing w:line="440" w:lineRule="exact"/>
        <w:ind w:firstLine="420"/>
        <w:jc w:val="both"/>
        <w:textAlignment w:val="auto"/>
        <w:rPr>
          <w:rFonts w:ascii="宋体" w:hAnsi="宋体" w:eastAsia="宋体" w:cs="Times New Roman"/>
          <w:snapToGrid/>
          <w:kern w:val="2"/>
          <w:lang w:eastAsia="zh-CN"/>
        </w:rPr>
      </w:pPr>
      <w:r>
        <w:rPr>
          <w:rFonts w:hint="eastAsia" w:ascii="宋体" w:hAnsi="宋体" w:eastAsia="宋体" w:cs="Times New Roman"/>
          <w:snapToGrid/>
          <w:kern w:val="2"/>
          <w:lang w:eastAsia="zh-CN"/>
        </w:rPr>
        <w:t xml:space="preserve">请注意本文件的某些内容可能涉及专利。本文件的发布机构不承担识别专利的责任。 </w:t>
      </w:r>
    </w:p>
    <w:p>
      <w:pPr>
        <w:spacing w:line="440" w:lineRule="exact"/>
        <w:ind w:firstLine="420"/>
        <w:rPr>
          <w:rFonts w:ascii="宋体" w:hAnsi="宋体" w:eastAsia="宋体" w:cs="Times New Roman"/>
          <w:snapToGrid/>
          <w:kern w:val="2"/>
          <w:lang w:eastAsia="zh-CN"/>
        </w:rPr>
      </w:pPr>
      <w:r>
        <w:rPr>
          <w:rFonts w:hint="eastAsia"/>
          <w:lang w:eastAsia="zh-CN"/>
        </w:rPr>
        <w:t>声明：本文件的知识产权归属上海市浦东新区食品药品安全管理协会，未经上海市浦东新区食品药品安全管理协会同意不得，不得印刷、销售。</w:t>
      </w:r>
    </w:p>
    <w:p>
      <w:pPr>
        <w:spacing w:line="440" w:lineRule="exact"/>
        <w:ind w:firstLine="420"/>
        <w:rPr>
          <w:rFonts w:hint="eastAsia"/>
          <w:lang w:val="en-US" w:eastAsia="zh-CN"/>
        </w:rPr>
      </w:pPr>
      <w:r>
        <w:rPr>
          <w:rFonts w:hint="eastAsia"/>
          <w:lang w:eastAsia="zh-CN"/>
        </w:rPr>
        <w:t>本文件起草单位：</w:t>
      </w:r>
      <w:r>
        <w:rPr>
          <w:rFonts w:hint="eastAsia"/>
          <w:lang w:val="en-US" w:eastAsia="zh-CN"/>
        </w:rPr>
        <w:t>上海市浦东新区食品药品安全管理协会、上海浦东高桥食品厂、上海市浦东新区高桥镇新王泰食品店</w:t>
      </w:r>
    </w:p>
    <w:p>
      <w:pPr>
        <w:widowControl w:val="0"/>
        <w:kinsoku/>
        <w:autoSpaceDE/>
        <w:autoSpaceDN/>
        <w:adjustRightInd/>
        <w:snapToGrid/>
        <w:spacing w:line="440" w:lineRule="exact"/>
        <w:ind w:firstLine="420"/>
        <w:jc w:val="both"/>
        <w:textAlignment w:val="auto"/>
        <w:rPr>
          <w:rFonts w:ascii="宋体" w:hAnsi="宋体" w:eastAsia="宋体" w:cs="Times New Roman"/>
          <w:snapToGrid/>
          <w:kern w:val="2"/>
          <w:lang w:eastAsia="zh-CN"/>
        </w:rPr>
      </w:pPr>
      <w:r>
        <w:rPr>
          <w:rFonts w:hint="eastAsia" w:ascii="宋体" w:hAnsi="宋体" w:eastAsia="宋体" w:cs="Times New Roman"/>
          <w:snapToGrid/>
          <w:kern w:val="2"/>
          <w:lang w:eastAsia="zh-CN"/>
        </w:rPr>
        <w:t>本文件主要起草人：</w:t>
      </w:r>
    </w:p>
    <w:p>
      <w:pPr>
        <w:widowControl w:val="0"/>
        <w:kinsoku/>
        <w:autoSpaceDE/>
        <w:autoSpaceDN/>
        <w:adjustRightInd/>
        <w:snapToGrid/>
        <w:spacing w:line="440" w:lineRule="exact"/>
        <w:ind w:firstLine="420"/>
        <w:jc w:val="both"/>
        <w:textAlignment w:val="auto"/>
        <w:rPr>
          <w:lang w:eastAsia="zh-CN"/>
        </w:rPr>
      </w:pPr>
      <w:r>
        <w:rPr>
          <w:rFonts w:hint="eastAsia" w:ascii="宋体" w:hAnsi="宋体" w:eastAsia="宋体" w:cs="Times New Roman"/>
          <w:snapToGrid/>
          <w:kern w:val="2"/>
          <w:lang w:eastAsia="zh-CN"/>
        </w:rPr>
        <w:t>本文件于2023年 月 日首次发布。</w:t>
      </w: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rPr>
          <w:lang w:eastAsia="zh-CN"/>
        </w:rPr>
      </w:pPr>
    </w:p>
    <w:p>
      <w:pPr>
        <w:jc w:val="center"/>
        <w:rPr>
          <w:lang w:eastAsia="zh-CN"/>
        </w:rPr>
        <w:sectPr>
          <w:footerReference r:id="rId3" w:type="default"/>
          <w:pgSz w:w="11906" w:h="16839"/>
          <w:pgMar w:top="782" w:right="1075" w:bottom="1197" w:left="1419" w:header="0" w:footer="1019" w:gutter="0"/>
          <w:cols w:space="720" w:num="1"/>
        </w:sectPr>
      </w:pPr>
    </w:p>
    <w:p>
      <w:pPr>
        <w:jc w:val="center"/>
        <w:rPr>
          <w:lang w:eastAsia="zh-CN"/>
        </w:rPr>
      </w:pPr>
    </w:p>
    <w:p>
      <w:pPr>
        <w:jc w:val="center"/>
        <w:rPr>
          <w:lang w:eastAsia="zh-CN"/>
        </w:rPr>
      </w:pPr>
    </w:p>
    <w:p>
      <w:pPr>
        <w:jc w:val="center"/>
        <w:rPr>
          <w:lang w:eastAsia="zh-CN"/>
        </w:rPr>
      </w:pPr>
    </w:p>
    <w:p>
      <w:pPr>
        <w:jc w:val="center"/>
        <w:rPr>
          <w:rFonts w:ascii="黑体" w:hAnsi="黑体" w:eastAsia="黑体" w:cs="黑体"/>
          <w:bCs/>
          <w:snapToGrid/>
          <w:color w:val="auto"/>
          <w:sz w:val="32"/>
          <w:szCs w:val="32"/>
          <w:lang w:eastAsia="zh-CN"/>
        </w:rPr>
      </w:pPr>
      <w:r>
        <w:rPr>
          <w:rFonts w:hint="eastAsia" w:ascii="黑体" w:hAnsi="黑体" w:eastAsia="黑体" w:cs="黑体"/>
          <w:bCs/>
          <w:snapToGrid/>
          <w:color w:val="auto"/>
          <w:sz w:val="32"/>
          <w:szCs w:val="32"/>
          <w:lang w:eastAsia="zh-CN"/>
        </w:rPr>
        <w:t>高桥松饼小作坊生产卫生规范</w:t>
      </w:r>
    </w:p>
    <w:p>
      <w:pPr>
        <w:rPr>
          <w:lang w:eastAsia="zh-CN"/>
        </w:rPr>
      </w:pPr>
    </w:p>
    <w:p>
      <w:pPr>
        <w:pStyle w:val="31"/>
        <w:spacing w:before="240" w:after="240"/>
        <w:outlineLvl w:val="0"/>
      </w:pPr>
      <w:bookmarkStart w:id="2" w:name="_Toc152662551"/>
      <w:r>
        <w:rPr>
          <w:rFonts w:hint="eastAsia"/>
        </w:rPr>
        <w:t>范围</w:t>
      </w:r>
      <w:bookmarkEnd w:id="2"/>
    </w:p>
    <w:p>
      <w:pPr>
        <w:widowControl w:val="0"/>
        <w:kinsoku/>
        <w:autoSpaceDE/>
        <w:autoSpaceDN/>
        <w:adjustRightInd/>
        <w:snapToGrid/>
        <w:ind w:firstLine="420"/>
        <w:jc w:val="both"/>
        <w:textAlignment w:val="auto"/>
        <w:rPr>
          <w:rFonts w:ascii="Times New Roman" w:hAnsi="Times New Roman" w:eastAsia="宋体" w:cs="Times New Roman"/>
          <w:snapToGrid/>
          <w:color w:val="auto"/>
          <w:kern w:val="2"/>
          <w:szCs w:val="24"/>
          <w:lang w:eastAsia="zh-CN"/>
        </w:rPr>
      </w:pPr>
      <w:r>
        <w:rPr>
          <w:rFonts w:hint="eastAsia" w:ascii="Times New Roman" w:hAnsi="Times New Roman" w:eastAsia="宋体" w:cs="Times New Roman"/>
          <w:snapToGrid/>
          <w:color w:val="auto"/>
          <w:kern w:val="2"/>
          <w:szCs w:val="24"/>
          <w:lang w:eastAsia="zh-CN"/>
        </w:rPr>
        <w:t xml:space="preserve">本文件规定了高桥松饼小作坊的术语和定义、基本要求、生产加工场所、设施与设备、卫生管理、食品原料和食品添加剂 、生产过程控制、检验、贮存和运输管理、产品召回管理、人员培训、管理制度及记录。 </w:t>
      </w:r>
    </w:p>
    <w:p>
      <w:pPr>
        <w:widowControl w:val="0"/>
        <w:kinsoku/>
        <w:autoSpaceDE/>
        <w:autoSpaceDN/>
        <w:adjustRightInd/>
        <w:snapToGrid/>
        <w:ind w:firstLine="420"/>
        <w:jc w:val="both"/>
        <w:textAlignment w:val="auto"/>
        <w:rPr>
          <w:rFonts w:ascii="Times New Roman" w:hAnsi="Times New Roman" w:eastAsia="宋体" w:cs="Times New Roman"/>
          <w:snapToGrid/>
          <w:color w:val="auto"/>
          <w:kern w:val="2"/>
          <w:szCs w:val="24"/>
          <w:lang w:eastAsia="zh-CN"/>
        </w:rPr>
      </w:pPr>
      <w:r>
        <w:rPr>
          <w:rFonts w:hint="eastAsia" w:ascii="Times New Roman" w:hAnsi="Times New Roman" w:eastAsia="宋体" w:cs="Times New Roman"/>
          <w:snapToGrid/>
          <w:color w:val="auto"/>
          <w:kern w:val="2"/>
          <w:szCs w:val="24"/>
          <w:lang w:eastAsia="zh-CN"/>
        </w:rPr>
        <w:t>本文件适用于上海市浦东新区高桥镇区域内以精白粉，熟猪油为主要原料生产加工松饼的食品小作坊。</w:t>
      </w:r>
    </w:p>
    <w:p>
      <w:pPr>
        <w:pStyle w:val="31"/>
        <w:spacing w:before="240" w:after="240"/>
        <w:outlineLvl w:val="0"/>
      </w:pPr>
      <w:bookmarkStart w:id="3" w:name="_Toc152662552"/>
      <w:r>
        <w:rPr>
          <w:rFonts w:hint="eastAsia"/>
        </w:rPr>
        <w:t>规范性引用文件</w:t>
      </w:r>
      <w:bookmarkEnd w:id="3"/>
    </w:p>
    <w:p>
      <w:pPr>
        <w:pStyle w:val="24"/>
        <w:spacing w:after="120" w:afterLines="50"/>
      </w:pPr>
      <w:r>
        <w:rPr>
          <w:rFonts w:hint="eastAsia"/>
        </w:rPr>
        <w:t>下列文件中的内容通过文中的规范性引用而构成本文件必不可少的条款。其中，注日期的引用文件， 仅该日期对应的版本适用于本文件。不注日期的引用文件，其最新版本（包括所有的修改单）适用于本文件。</w:t>
      </w:r>
    </w:p>
    <w:p>
      <w:pPr>
        <w:pStyle w:val="31"/>
        <w:spacing w:before="240" w:after="240"/>
        <w:outlineLvl w:val="0"/>
      </w:pPr>
      <w:bookmarkStart w:id="4" w:name="_Toc152662553"/>
      <w:r>
        <w:rPr>
          <w:rFonts w:hint="eastAsia"/>
        </w:rPr>
        <w:t>术语和定义</w:t>
      </w:r>
      <w:bookmarkEnd w:id="4"/>
    </w:p>
    <w:p>
      <w:pPr>
        <w:pStyle w:val="24"/>
      </w:pPr>
      <w:r>
        <w:rPr>
          <w:rFonts w:hint="eastAsia"/>
        </w:rPr>
        <w:t>GB 14881 界定的及下列术语和定义适用于本文件。</w:t>
      </w:r>
    </w:p>
    <w:p>
      <w:pPr>
        <w:pStyle w:val="32"/>
        <w:numPr>
          <w:ilvl w:val="1"/>
          <w:numId w:val="0"/>
        </w:numPr>
        <w:spacing w:before="120" w:after="120"/>
        <w:outlineLvl w:val="1"/>
      </w:pPr>
      <w:bookmarkStart w:id="5" w:name="_Toc152662554"/>
      <w:r>
        <w:rPr>
          <w:rFonts w:hint="eastAsia"/>
        </w:rPr>
        <w:t>3.1高桥松饼</w:t>
      </w:r>
      <w:bookmarkEnd w:id="5"/>
    </w:p>
    <w:p>
      <w:pPr>
        <w:widowControl w:val="0"/>
        <w:kinsoku/>
        <w:autoSpaceDE/>
        <w:autoSpaceDN/>
        <w:adjustRightInd/>
        <w:snapToGrid/>
        <w:ind w:firstLine="420"/>
        <w:jc w:val="both"/>
        <w:textAlignment w:val="auto"/>
        <w:rPr>
          <w:rFonts w:ascii="Times New Roman" w:hAnsi="Times New Roman" w:eastAsia="宋体" w:cs="Times New Roman"/>
          <w:snapToGrid/>
          <w:color w:val="auto"/>
          <w:kern w:val="2"/>
          <w:szCs w:val="24"/>
          <w:lang w:eastAsia="zh-CN"/>
        </w:rPr>
      </w:pPr>
      <w:r>
        <w:rPr>
          <w:rFonts w:hint="eastAsia" w:ascii="Times New Roman" w:hAnsi="Times New Roman" w:eastAsia="宋体" w:cs="Times New Roman"/>
          <w:snapToGrid/>
          <w:color w:val="auto"/>
          <w:kern w:val="2"/>
          <w:szCs w:val="24"/>
          <w:lang w:eastAsia="zh-CN"/>
        </w:rPr>
        <w:t>上海市浦东新区高桥镇四大名点之一，因其入口酥松而得名。又因酥皮层次分明，每层薄如纸，别称千层饼。通常用精白粉（面粉）、熟猪油、绵白糖、赤豆、桂花为原料，经擦酥、包酥、开酥、插皮子、包馅成型、烘烤、冷却、检验、装盒等工序制作而成。成品后，表面呈黄色，戳记清楚，四周呈乳白色。切开层次分明，皮薄馅多，不偏皮，无杂质，底部无僵硬感。入口松酥，甜糯。</w:t>
      </w:r>
    </w:p>
    <w:p>
      <w:pPr>
        <w:pStyle w:val="32"/>
        <w:numPr>
          <w:ilvl w:val="1"/>
          <w:numId w:val="0"/>
        </w:numPr>
        <w:spacing w:before="120" w:after="120"/>
        <w:outlineLvl w:val="1"/>
      </w:pPr>
      <w:bookmarkStart w:id="6" w:name="_Toc152662555"/>
      <w:r>
        <w:rPr>
          <w:rFonts w:hint="eastAsia"/>
        </w:rPr>
        <w:t>3.2</w:t>
      </w:r>
      <w:r>
        <w:t xml:space="preserve"> </w:t>
      </w:r>
      <w:r>
        <w:rPr>
          <w:rFonts w:hint="eastAsia"/>
        </w:rPr>
        <w:t>高桥松饼小作坊</w:t>
      </w:r>
      <w:bookmarkEnd w:id="6"/>
    </w:p>
    <w:p>
      <w:pPr>
        <w:pStyle w:val="32"/>
        <w:numPr>
          <w:ilvl w:val="255"/>
          <w:numId w:val="0"/>
        </w:numPr>
        <w:spacing w:before="120" w:after="120"/>
        <w:ind w:firstLine="420" w:firstLineChars="200"/>
        <w:outlineLvl w:val="9"/>
        <w:rPr>
          <w:rFonts w:ascii="Times New Roman" w:eastAsia="宋体"/>
          <w:kern w:val="2"/>
          <w:szCs w:val="24"/>
        </w:rPr>
      </w:pPr>
      <w:r>
        <w:rPr>
          <w:rFonts w:hint="eastAsia"/>
        </w:rPr>
        <w:t xml:space="preserve"> </w:t>
      </w:r>
      <w:r>
        <w:rPr>
          <w:rFonts w:hint="eastAsia" w:ascii="Times New Roman" w:eastAsia="宋体"/>
          <w:kern w:val="2"/>
          <w:szCs w:val="24"/>
        </w:rPr>
        <w:t>高桥松饼小作坊是指具有固定生产加工场所、从业人员较少，生产加工规模小、生产条件和工艺技术简单， 生产加工传统、特色食品的生产经营者。</w:t>
      </w:r>
    </w:p>
    <w:p>
      <w:pPr>
        <w:rPr>
          <w:lang w:eastAsia="zh-CN"/>
        </w:rPr>
      </w:pPr>
    </w:p>
    <w:p>
      <w:pPr>
        <w:pStyle w:val="31"/>
        <w:spacing w:before="240" w:after="240"/>
        <w:outlineLvl w:val="0"/>
      </w:pPr>
      <w:bookmarkStart w:id="7" w:name="_Toc152662556"/>
      <w:r>
        <w:rPr>
          <w:rFonts w:hint="eastAsia"/>
        </w:rPr>
        <w:t>基本要求</w:t>
      </w:r>
      <w:bookmarkEnd w:id="7"/>
      <w:r>
        <w:rPr>
          <w:rFonts w:hint="eastAsia"/>
        </w:rPr>
        <w:t xml:space="preserve"> </w:t>
      </w:r>
    </w:p>
    <w:p>
      <w:pPr>
        <w:widowControl w:val="0"/>
        <w:kinsoku/>
        <w:autoSpaceDE/>
        <w:autoSpaceDN/>
        <w:adjustRightInd/>
        <w:snapToGrid/>
        <w:ind w:firstLine="420"/>
        <w:jc w:val="both"/>
        <w:textAlignment w:val="auto"/>
        <w:rPr>
          <w:rFonts w:ascii="Times New Roman" w:hAnsi="Times New Roman" w:eastAsia="宋体" w:cs="Times New Roman"/>
          <w:snapToGrid/>
          <w:color w:val="auto"/>
          <w:kern w:val="2"/>
          <w:szCs w:val="24"/>
          <w:lang w:eastAsia="zh-CN"/>
        </w:rPr>
      </w:pPr>
      <w:r>
        <w:rPr>
          <w:rFonts w:hint="eastAsia" w:ascii="Times New Roman" w:hAnsi="Times New Roman" w:eastAsia="宋体" w:cs="Times New Roman"/>
          <w:snapToGrid/>
          <w:color w:val="auto"/>
          <w:kern w:val="2"/>
          <w:szCs w:val="24"/>
          <w:lang w:eastAsia="zh-CN"/>
        </w:rPr>
        <w:t xml:space="preserve">应遵守相关法律、法规和标准中的规定和要求，提高食品安全意识，完善管理制度，改善厂房、设施设备、过程控制等条件，保证所生产的食品卫生、无毒、无害，不得生产危害人体健康和生命安全的食品。 </w:t>
      </w:r>
    </w:p>
    <w:p>
      <w:pPr>
        <w:rPr>
          <w:lang w:eastAsia="zh-CN"/>
        </w:rPr>
      </w:pPr>
    </w:p>
    <w:p>
      <w:pPr>
        <w:pStyle w:val="31"/>
        <w:spacing w:before="240" w:after="240"/>
        <w:outlineLvl w:val="0"/>
        <w:rPr>
          <w:rFonts w:hint="eastAsia"/>
        </w:rPr>
      </w:pPr>
      <w:bookmarkStart w:id="8" w:name="_Toc152662557"/>
      <w:r>
        <w:rPr>
          <w:rFonts w:hint="eastAsia"/>
        </w:rPr>
        <w:t>生产加工场所</w:t>
      </w:r>
      <w:bookmarkEnd w:id="8"/>
    </w:p>
    <w:p>
      <w:pPr>
        <w:outlineLvl w:val="1"/>
        <w:rPr>
          <w:rFonts w:ascii="黑体" w:hAnsi="Times New Roman" w:eastAsia="黑体" w:cs="Times New Roman"/>
          <w:snapToGrid/>
          <w:color w:val="auto"/>
          <w:lang w:eastAsia="zh-CN"/>
        </w:rPr>
      </w:pPr>
      <w:bookmarkStart w:id="9" w:name="_Toc152662558"/>
      <w:r>
        <w:rPr>
          <w:rFonts w:hint="eastAsia" w:ascii="黑体" w:hAnsi="Times New Roman" w:eastAsia="黑体" w:cs="Times New Roman"/>
          <w:snapToGrid/>
          <w:color w:val="auto"/>
          <w:lang w:eastAsia="zh-CN"/>
        </w:rPr>
        <w:t>5.1 选址</w:t>
      </w:r>
      <w:bookmarkEnd w:id="9"/>
      <w:r>
        <w:rPr>
          <w:rFonts w:hint="eastAsia" w:ascii="黑体" w:hAnsi="Times New Roman" w:eastAsia="黑体" w:cs="Times New Roman"/>
          <w:snapToGrid/>
          <w:color w:val="auto"/>
          <w:lang w:eastAsia="zh-CN"/>
        </w:rPr>
        <w:t xml:space="preserve"> </w:t>
      </w:r>
    </w:p>
    <w:p>
      <w:pPr>
        <w:ind w:firstLine="420" w:firstLineChars="200"/>
        <w:rPr>
          <w:lang w:eastAsia="zh-CN"/>
        </w:rPr>
      </w:pPr>
      <w:r>
        <w:rPr>
          <w:rFonts w:hint="eastAsia"/>
          <w:lang w:eastAsia="zh-CN"/>
        </w:rPr>
        <w:t xml:space="preserve">应距离粪坑、污水池、暴露垃圾场（站）、畜禽类动物圈养场所等污染源 </w:t>
      </w:r>
      <w:r>
        <w:rPr>
          <w:lang w:eastAsia="zh-CN"/>
        </w:rPr>
        <w:t xml:space="preserve">25 </w:t>
      </w:r>
      <w:r>
        <w:rPr>
          <w:rFonts w:hint="eastAsia"/>
          <w:lang w:eastAsia="zh-CN"/>
        </w:rPr>
        <w:t xml:space="preserve">米以上，并设置在粉尘、有害气体和其他扩散性污染源以及虫害大量孳生的潜在场所的影响范围之外。通往加工场所的道路应硬化。 </w:t>
      </w:r>
    </w:p>
    <w:p>
      <w:pPr>
        <w:rPr>
          <w:lang w:eastAsia="zh-CN"/>
        </w:rPr>
      </w:pPr>
    </w:p>
    <w:p>
      <w:pPr>
        <w:pStyle w:val="32"/>
        <w:numPr>
          <w:ilvl w:val="1"/>
          <w:numId w:val="0"/>
        </w:numPr>
        <w:spacing w:before="120" w:after="120"/>
        <w:outlineLvl w:val="1"/>
      </w:pPr>
      <w:bookmarkStart w:id="10" w:name="_Toc152662559"/>
      <w:r>
        <w:rPr>
          <w:rFonts w:hint="eastAsia"/>
        </w:rPr>
        <w:t>5.2 加工场所环境</w:t>
      </w:r>
      <w:bookmarkEnd w:id="10"/>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5.2.1 </w:t>
      </w:r>
      <w:r>
        <w:rPr>
          <w:rFonts w:hint="eastAsia"/>
          <w:lang w:eastAsia="zh-CN"/>
        </w:rPr>
        <w:t xml:space="preserve">加工场所应清洁、卫生、通风良好，无积水、垃圾等易造成食品污染的因素，应有良好的防雨、 防尘、防鼠、防蚊、防蝇、防虫等设施。加工场所不得饲养畜禽、宠物。 </w:t>
      </w:r>
    </w:p>
    <w:p>
      <w:pPr>
        <w:rPr>
          <w:lang w:eastAsia="zh-CN"/>
        </w:rPr>
      </w:pPr>
      <w:r>
        <w:rPr>
          <w:rFonts w:hint="eastAsia" w:ascii="黑体" w:hAnsi="Times New Roman" w:eastAsia="黑体" w:cs="Times New Roman"/>
          <w:snapToGrid/>
          <w:color w:val="auto"/>
          <w:kern w:val="2"/>
          <w:lang w:eastAsia="zh-CN"/>
        </w:rPr>
        <w:t xml:space="preserve">5.2.2 </w:t>
      </w:r>
      <w:r>
        <w:rPr>
          <w:rFonts w:hint="eastAsia"/>
          <w:lang w:eastAsia="zh-CN"/>
        </w:rPr>
        <w:t xml:space="preserve">加工场所地面应硬化。 </w:t>
      </w:r>
    </w:p>
    <w:p>
      <w:pPr>
        <w:rPr>
          <w:lang w:eastAsia="zh-CN"/>
        </w:rPr>
      </w:pPr>
      <w:r>
        <w:rPr>
          <w:rFonts w:hint="eastAsia" w:ascii="黑体" w:hAnsi="Times New Roman" w:eastAsia="黑体" w:cs="Times New Roman"/>
          <w:snapToGrid/>
          <w:color w:val="auto"/>
          <w:kern w:val="2"/>
          <w:lang w:eastAsia="zh-CN"/>
        </w:rPr>
        <w:t xml:space="preserve">5.2.3 </w:t>
      </w:r>
      <w:r>
        <w:rPr>
          <w:rFonts w:hint="eastAsia"/>
          <w:lang w:eastAsia="zh-CN"/>
        </w:rPr>
        <w:t xml:space="preserve">加工场所与生活场所应分隔，加工场所不得放置个人生活物品。 </w:t>
      </w:r>
    </w:p>
    <w:p>
      <w:pPr>
        <w:rPr>
          <w:lang w:eastAsia="zh-CN"/>
        </w:rPr>
      </w:pPr>
    </w:p>
    <w:p>
      <w:pPr>
        <w:pStyle w:val="32"/>
        <w:numPr>
          <w:ilvl w:val="1"/>
          <w:numId w:val="0"/>
        </w:numPr>
        <w:spacing w:before="120" w:after="120"/>
        <w:outlineLvl w:val="1"/>
      </w:pPr>
      <w:bookmarkStart w:id="11" w:name="_Toc152662560"/>
      <w:r>
        <w:rPr>
          <w:rFonts w:hint="eastAsia"/>
        </w:rPr>
        <w:t>5.3设计和布局</w:t>
      </w:r>
      <w:bookmarkEnd w:id="11"/>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5.3.1 </w:t>
      </w:r>
      <w:r>
        <w:rPr>
          <w:rFonts w:hint="eastAsia"/>
          <w:lang w:eastAsia="zh-CN"/>
        </w:rPr>
        <w:t xml:space="preserve">加工场所布局合理，应满足生产产品的工艺流程需要，生食加工区和熟食加工区、直接入口食 </w:t>
      </w:r>
    </w:p>
    <w:p>
      <w:pPr>
        <w:rPr>
          <w:lang w:eastAsia="zh-CN"/>
        </w:rPr>
      </w:pPr>
      <w:r>
        <w:rPr>
          <w:rFonts w:hint="eastAsia"/>
          <w:lang w:eastAsia="zh-CN"/>
        </w:rPr>
        <w:t xml:space="preserve">品内包装区和外包装区，应有效分隔，并采取有效措施避免交叉污染。 </w:t>
      </w:r>
    </w:p>
    <w:p>
      <w:pPr>
        <w:rPr>
          <w:lang w:eastAsia="zh-CN"/>
        </w:rPr>
      </w:pPr>
      <w:r>
        <w:rPr>
          <w:rFonts w:hint="eastAsia" w:ascii="黑体" w:hAnsi="Times New Roman" w:eastAsia="黑体" w:cs="Times New Roman"/>
          <w:snapToGrid/>
          <w:color w:val="auto"/>
          <w:kern w:val="2"/>
          <w:lang w:eastAsia="zh-CN"/>
        </w:rPr>
        <w:t xml:space="preserve">5.3.2 </w:t>
      </w:r>
      <w:r>
        <w:rPr>
          <w:rFonts w:hint="eastAsia"/>
          <w:lang w:eastAsia="zh-CN"/>
        </w:rPr>
        <w:t xml:space="preserve">加工场所面积和空间应与生产能力相适应，便于设备安置、清洁消毒、物料存储及人员操作。 </w:t>
      </w:r>
    </w:p>
    <w:p>
      <w:pPr>
        <w:rPr>
          <w:lang w:eastAsia="zh-CN"/>
        </w:rPr>
      </w:pPr>
      <w:r>
        <w:rPr>
          <w:rFonts w:hint="eastAsia" w:ascii="黑体" w:hAnsi="Times New Roman" w:eastAsia="黑体" w:cs="Times New Roman"/>
          <w:snapToGrid/>
          <w:color w:val="auto"/>
          <w:kern w:val="2"/>
          <w:lang w:eastAsia="zh-CN"/>
        </w:rPr>
        <w:t xml:space="preserve">5.3.3 </w:t>
      </w:r>
      <w:r>
        <w:rPr>
          <w:rFonts w:hint="eastAsia"/>
          <w:lang w:eastAsia="zh-CN"/>
        </w:rPr>
        <w:t xml:space="preserve">卫生间不得与生产加工场所直接连通。 </w:t>
      </w:r>
    </w:p>
    <w:p>
      <w:pPr>
        <w:rPr>
          <w:lang w:eastAsia="zh-CN"/>
        </w:rPr>
      </w:pPr>
    </w:p>
    <w:p>
      <w:pPr>
        <w:pStyle w:val="32"/>
        <w:numPr>
          <w:ilvl w:val="1"/>
          <w:numId w:val="0"/>
        </w:numPr>
        <w:spacing w:before="120" w:after="120"/>
        <w:outlineLvl w:val="1"/>
      </w:pPr>
      <w:bookmarkStart w:id="12" w:name="_Toc152662561"/>
      <w:r>
        <w:rPr>
          <w:rFonts w:hint="eastAsia"/>
        </w:rPr>
        <w:t>5.4 建筑内部结构与材料</w:t>
      </w:r>
      <w:bookmarkEnd w:id="12"/>
    </w:p>
    <w:p>
      <w:pPr>
        <w:rPr>
          <w:lang w:eastAsia="zh-CN"/>
        </w:rPr>
      </w:pPr>
      <w:r>
        <w:rPr>
          <w:rFonts w:hint="eastAsia" w:ascii="黑体" w:hAnsi="Times New Roman" w:eastAsia="黑体" w:cs="Times New Roman"/>
          <w:snapToGrid/>
          <w:color w:val="auto"/>
          <w:kern w:val="2"/>
          <w:lang w:eastAsia="zh-CN"/>
        </w:rPr>
        <w:t xml:space="preserve">5.4.1 </w:t>
      </w:r>
      <w:r>
        <w:rPr>
          <w:rFonts w:hint="eastAsia"/>
          <w:lang w:eastAsia="zh-CN"/>
        </w:rPr>
        <w:t xml:space="preserve">建筑内部结构应易于维护、清洁或消毒。应采用无毒、无味、适当的耐用材料建造。 </w:t>
      </w:r>
    </w:p>
    <w:p>
      <w:pPr>
        <w:rPr>
          <w:lang w:eastAsia="zh-CN"/>
        </w:rPr>
      </w:pPr>
      <w:r>
        <w:rPr>
          <w:rFonts w:hint="eastAsia" w:ascii="黑体" w:hAnsi="Times New Roman" w:eastAsia="黑体" w:cs="Times New Roman"/>
          <w:snapToGrid/>
          <w:color w:val="auto"/>
          <w:kern w:val="2"/>
          <w:lang w:eastAsia="zh-CN"/>
        </w:rPr>
        <w:t xml:space="preserve">5.4.2 </w:t>
      </w:r>
      <w:r>
        <w:rPr>
          <w:rFonts w:hint="eastAsia"/>
          <w:lang w:eastAsia="zh-CN"/>
        </w:rPr>
        <w:t xml:space="preserve">顶棚应易于清洁、消毒，在结构上不利于冷凝水垂直滴下，防止虫害和霉菌孳生。 </w:t>
      </w:r>
    </w:p>
    <w:p>
      <w:pPr>
        <w:rPr>
          <w:lang w:eastAsia="zh-CN"/>
        </w:rPr>
      </w:pPr>
      <w:r>
        <w:rPr>
          <w:rFonts w:hint="eastAsia"/>
          <w:lang w:eastAsia="zh-CN"/>
        </w:rPr>
        <w:t xml:space="preserve">5.4.3 墙面、隔断应不易积存污垢且易于清洁，需要经常冲洗及易潮湿的场所，应有 </w:t>
      </w:r>
      <w:r>
        <w:rPr>
          <w:lang w:eastAsia="zh-CN"/>
        </w:rPr>
        <w:t xml:space="preserve">1.5 </w:t>
      </w:r>
      <w:r>
        <w:rPr>
          <w:rFonts w:hint="eastAsia"/>
          <w:lang w:eastAsia="zh-CN"/>
        </w:rPr>
        <w:t xml:space="preserve">米以上不吸 </w:t>
      </w:r>
    </w:p>
    <w:p>
      <w:pPr>
        <w:rPr>
          <w:lang w:eastAsia="zh-CN"/>
        </w:rPr>
      </w:pPr>
      <w:r>
        <w:rPr>
          <w:rFonts w:hint="eastAsia"/>
          <w:lang w:eastAsia="zh-CN"/>
        </w:rPr>
        <w:t xml:space="preserve">水、易清洗的材料制成的墙裙。 </w:t>
      </w:r>
    </w:p>
    <w:p>
      <w:pPr>
        <w:rPr>
          <w:lang w:eastAsia="zh-CN"/>
        </w:rPr>
      </w:pPr>
      <w:r>
        <w:rPr>
          <w:rFonts w:hint="eastAsia" w:ascii="黑体" w:hAnsi="Times New Roman" w:eastAsia="黑体" w:cs="Times New Roman"/>
          <w:snapToGrid/>
          <w:color w:val="auto"/>
          <w:kern w:val="2"/>
          <w:lang w:eastAsia="zh-CN"/>
        </w:rPr>
        <w:t xml:space="preserve">5.4.4 </w:t>
      </w:r>
      <w:r>
        <w:rPr>
          <w:rFonts w:hint="eastAsia"/>
          <w:lang w:eastAsia="zh-CN"/>
        </w:rPr>
        <w:t xml:space="preserve">门窗应闭合严密，易于清洁、消毒。 </w:t>
      </w:r>
    </w:p>
    <w:p>
      <w:pPr>
        <w:rPr>
          <w:lang w:eastAsia="zh-CN"/>
        </w:rPr>
      </w:pPr>
      <w:r>
        <w:rPr>
          <w:rFonts w:hint="eastAsia" w:ascii="黑体" w:hAnsi="Times New Roman" w:eastAsia="黑体" w:cs="Times New Roman"/>
          <w:snapToGrid/>
          <w:color w:val="auto"/>
          <w:kern w:val="2"/>
          <w:lang w:eastAsia="zh-CN"/>
        </w:rPr>
        <w:t xml:space="preserve">5.4.5 </w:t>
      </w:r>
      <w:r>
        <w:rPr>
          <w:rFonts w:hint="eastAsia"/>
          <w:lang w:eastAsia="zh-CN"/>
        </w:rPr>
        <w:t xml:space="preserve">门及可开启的窗户应装有易于清洁的防止虫害侵入设施。 </w:t>
      </w:r>
    </w:p>
    <w:p>
      <w:pPr>
        <w:rPr>
          <w:rFonts w:eastAsiaTheme="minorEastAsia"/>
          <w:lang w:eastAsia="zh-CN"/>
        </w:rPr>
      </w:pPr>
      <w:r>
        <w:rPr>
          <w:rFonts w:hint="eastAsia" w:ascii="黑体" w:hAnsi="Times New Roman" w:eastAsia="黑体" w:cs="Times New Roman"/>
          <w:snapToGrid/>
          <w:color w:val="auto"/>
          <w:kern w:val="2"/>
          <w:lang w:eastAsia="zh-CN"/>
        </w:rPr>
        <w:t xml:space="preserve">5.4.6 </w:t>
      </w:r>
      <w:r>
        <w:rPr>
          <w:rFonts w:hint="eastAsia"/>
          <w:lang w:eastAsia="zh-CN"/>
        </w:rPr>
        <w:t>地面应硬化，结构应有利于清洁和排污。地面应平整防滑、无裂缝，并有适当的措施防止积水</w:t>
      </w:r>
      <w:r>
        <w:rPr>
          <w:rFonts w:hint="eastAsia" w:ascii="宋体" w:hAnsi="宋体" w:eastAsia="宋体" w:cs="宋体"/>
          <w:lang w:eastAsia="zh-CN"/>
        </w:rPr>
        <w:t>。</w:t>
      </w:r>
    </w:p>
    <w:p>
      <w:pPr>
        <w:rPr>
          <w:rFonts w:hint="eastAsia" w:eastAsiaTheme="minorEastAsia"/>
          <w:lang w:eastAsia="zh-CN"/>
        </w:rPr>
      </w:pPr>
    </w:p>
    <w:p>
      <w:pPr>
        <w:pStyle w:val="31"/>
        <w:spacing w:before="240" w:after="240"/>
        <w:outlineLvl w:val="0"/>
        <w:rPr>
          <w:rFonts w:hint="eastAsia"/>
        </w:rPr>
      </w:pPr>
      <w:bookmarkStart w:id="13" w:name="_Toc152662562"/>
      <w:r>
        <w:rPr>
          <w:rFonts w:hint="eastAsia"/>
        </w:rPr>
        <w:t>设施与设备</w:t>
      </w:r>
      <w:bookmarkEnd w:id="13"/>
    </w:p>
    <w:p>
      <w:pPr>
        <w:pStyle w:val="32"/>
        <w:numPr>
          <w:ilvl w:val="1"/>
          <w:numId w:val="0"/>
        </w:numPr>
        <w:spacing w:before="120" w:after="120"/>
        <w:outlineLvl w:val="1"/>
      </w:pPr>
      <w:bookmarkStart w:id="14" w:name="_Toc152662563"/>
      <w:r>
        <w:rPr>
          <w:rFonts w:hint="eastAsia"/>
        </w:rPr>
        <w:t>6.1 基本要求</w:t>
      </w:r>
      <w:bookmarkEnd w:id="14"/>
      <w:r>
        <w:rPr>
          <w:rFonts w:hint="eastAsia"/>
        </w:rPr>
        <w:t xml:space="preserve"> </w:t>
      </w:r>
    </w:p>
    <w:p>
      <w:pPr>
        <w:rPr>
          <w:lang w:eastAsia="zh-CN"/>
        </w:rPr>
      </w:pPr>
      <w:r>
        <w:rPr>
          <w:rFonts w:hint="eastAsia"/>
          <w:lang w:eastAsia="zh-CN"/>
        </w:rPr>
        <w:t xml:space="preserve">具有与生产的食品品种、数量相适应的生产设备、设施，以及防尘、防蝇、防鼠、防虫等卫生防护设施。 </w:t>
      </w:r>
    </w:p>
    <w:p>
      <w:pPr>
        <w:rPr>
          <w:lang w:eastAsia="zh-CN"/>
        </w:rPr>
      </w:pPr>
    </w:p>
    <w:p>
      <w:pPr>
        <w:pStyle w:val="32"/>
        <w:numPr>
          <w:ilvl w:val="1"/>
          <w:numId w:val="0"/>
        </w:numPr>
        <w:spacing w:before="120" w:after="120"/>
        <w:outlineLvl w:val="1"/>
      </w:pPr>
      <w:bookmarkStart w:id="15" w:name="_Toc152662564"/>
      <w:r>
        <w:rPr>
          <w:rFonts w:hint="eastAsia"/>
        </w:rPr>
        <w:t>6.2 供水设施</w:t>
      </w:r>
      <w:bookmarkEnd w:id="15"/>
      <w:r>
        <w:rPr>
          <w:rFonts w:hint="eastAsia"/>
        </w:rPr>
        <w:t xml:space="preserve"> </w:t>
      </w:r>
    </w:p>
    <w:p>
      <w:pPr>
        <w:rPr>
          <w:lang w:eastAsia="zh-CN"/>
        </w:rPr>
      </w:pPr>
      <w:r>
        <w:rPr>
          <w:rFonts w:hint="eastAsia"/>
          <w:lang w:eastAsia="zh-CN"/>
        </w:rPr>
        <w:t xml:space="preserve">食品加工场所应有能满足食品生产需要的供水设施。食品生产用水的水质应符合 </w:t>
      </w:r>
      <w:r>
        <w:rPr>
          <w:lang w:eastAsia="zh-CN"/>
        </w:rPr>
        <w:t xml:space="preserve">GB 5749 </w:t>
      </w:r>
      <w:r>
        <w:rPr>
          <w:rFonts w:hint="eastAsia"/>
          <w:lang w:eastAsia="zh-CN"/>
        </w:rPr>
        <w:t>的规定。供水设施中使用的涉及饮用水卫生安全的产品应符合国家相关规定。</w:t>
      </w:r>
    </w:p>
    <w:p>
      <w:pPr>
        <w:pStyle w:val="32"/>
        <w:numPr>
          <w:ilvl w:val="1"/>
          <w:numId w:val="0"/>
        </w:numPr>
        <w:spacing w:before="120" w:after="120"/>
      </w:pPr>
      <w:r>
        <w:rPr>
          <w:rFonts w:hint="eastAsia"/>
        </w:rPr>
        <w:t xml:space="preserve"> </w:t>
      </w:r>
    </w:p>
    <w:p>
      <w:pPr>
        <w:pStyle w:val="32"/>
        <w:numPr>
          <w:ilvl w:val="1"/>
          <w:numId w:val="0"/>
        </w:numPr>
        <w:spacing w:before="120" w:after="120"/>
        <w:outlineLvl w:val="1"/>
      </w:pPr>
      <w:bookmarkStart w:id="16" w:name="_Toc152662565"/>
      <w:r>
        <w:rPr>
          <w:rFonts w:hint="eastAsia"/>
        </w:rPr>
        <w:t>6.3 排水设施</w:t>
      </w:r>
      <w:bookmarkEnd w:id="16"/>
      <w:r>
        <w:rPr>
          <w:rFonts w:hint="eastAsia"/>
        </w:rPr>
        <w:t xml:space="preserve">  </w:t>
      </w:r>
    </w:p>
    <w:p>
      <w:pPr>
        <w:rPr>
          <w:lang w:eastAsia="zh-CN"/>
        </w:rPr>
      </w:pPr>
      <w:r>
        <w:rPr>
          <w:rFonts w:hint="eastAsia"/>
          <w:lang w:eastAsia="zh-CN"/>
        </w:rPr>
        <w:t xml:space="preserve">需经常冲洗的场所应设置排水设施，便于清洁维护，保证排水畅通。排水入口应安装适当的设施，以防止固废弃物进入及浊气逸出。排水系统入口应安装带水封的地漏等装置，有防止虫害侵入等设施。 </w:t>
      </w:r>
    </w:p>
    <w:p>
      <w:pPr>
        <w:rPr>
          <w:lang w:eastAsia="zh-CN"/>
        </w:rPr>
      </w:pPr>
    </w:p>
    <w:p>
      <w:pPr>
        <w:pStyle w:val="32"/>
        <w:numPr>
          <w:ilvl w:val="1"/>
          <w:numId w:val="0"/>
        </w:numPr>
        <w:spacing w:before="120" w:after="120"/>
        <w:outlineLvl w:val="1"/>
      </w:pPr>
      <w:bookmarkStart w:id="17" w:name="_Toc152662566"/>
      <w:r>
        <w:rPr>
          <w:rFonts w:hint="eastAsia"/>
        </w:rPr>
        <w:t>6.4 清洁消毒设施</w:t>
      </w:r>
      <w:bookmarkEnd w:id="17"/>
      <w:r>
        <w:rPr>
          <w:rFonts w:hint="eastAsia"/>
        </w:rPr>
        <w:t xml:space="preserve"> </w:t>
      </w:r>
    </w:p>
    <w:p>
      <w:pPr>
        <w:rPr>
          <w:lang w:eastAsia="zh-CN"/>
        </w:rPr>
      </w:pPr>
      <w:r>
        <w:rPr>
          <w:rFonts w:hint="eastAsia"/>
          <w:lang w:eastAsia="zh-CN"/>
        </w:rPr>
        <w:t xml:space="preserve">应配备足够的食品、工器具和设备的专用清洁设备，必要时应配备适宜的消毒设备。不得与拖布等其他卫生清洁设施混放混用。清洗池的材质应为不锈钢、陶瓷等不透水材料，结构应易于清洗。 </w:t>
      </w:r>
    </w:p>
    <w:p>
      <w:pPr>
        <w:rPr>
          <w:lang w:eastAsia="zh-CN"/>
        </w:rPr>
      </w:pPr>
    </w:p>
    <w:p>
      <w:pPr>
        <w:pStyle w:val="32"/>
        <w:numPr>
          <w:ilvl w:val="1"/>
          <w:numId w:val="0"/>
        </w:numPr>
        <w:spacing w:before="120" w:after="120"/>
        <w:outlineLvl w:val="1"/>
      </w:pPr>
      <w:bookmarkStart w:id="18" w:name="_Toc152662567"/>
      <w:r>
        <w:rPr>
          <w:rFonts w:hint="eastAsia"/>
        </w:rPr>
        <w:t>6.5 个人卫生设施</w:t>
      </w:r>
      <w:bookmarkEnd w:id="18"/>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6.5.1 </w:t>
      </w:r>
      <w:r>
        <w:rPr>
          <w:rFonts w:hint="eastAsia"/>
          <w:lang w:eastAsia="zh-CN"/>
        </w:rPr>
        <w:t xml:space="preserve">应在生产加工场所设置洗手、干手和消毒设施，必要时应设置冷热水混合器。 </w:t>
      </w:r>
    </w:p>
    <w:p>
      <w:pPr>
        <w:rPr>
          <w:lang w:eastAsia="zh-CN"/>
        </w:rPr>
      </w:pPr>
      <w:r>
        <w:rPr>
          <w:rFonts w:hint="eastAsia" w:ascii="黑体" w:hAnsi="Times New Roman" w:eastAsia="黑体" w:cs="Times New Roman"/>
          <w:snapToGrid/>
          <w:color w:val="auto"/>
          <w:kern w:val="2"/>
          <w:lang w:eastAsia="zh-CN"/>
        </w:rPr>
        <w:t xml:space="preserve">6.5.2 </w:t>
      </w:r>
      <w:r>
        <w:rPr>
          <w:rFonts w:hint="eastAsia"/>
          <w:lang w:eastAsia="zh-CN"/>
        </w:rPr>
        <w:t xml:space="preserve">洗手池应采用光滑、不透水、易清洁的材质制成，其设计及构造应易于清洁消毒。应在临近洗 </w:t>
      </w:r>
    </w:p>
    <w:p>
      <w:pPr>
        <w:rPr>
          <w:lang w:eastAsia="zh-CN"/>
        </w:rPr>
      </w:pPr>
      <w:r>
        <w:rPr>
          <w:rFonts w:hint="eastAsia"/>
          <w:lang w:eastAsia="zh-CN"/>
        </w:rPr>
        <w:t xml:space="preserve">手设施的显著位置标示简明易懂的洗手方法。 </w:t>
      </w:r>
    </w:p>
    <w:p>
      <w:pPr>
        <w:rPr>
          <w:lang w:eastAsia="zh-CN"/>
        </w:rPr>
      </w:pPr>
      <w:r>
        <w:rPr>
          <w:rFonts w:hint="eastAsia" w:ascii="黑体" w:hAnsi="Times New Roman" w:eastAsia="黑体" w:cs="Times New Roman"/>
          <w:snapToGrid/>
          <w:color w:val="auto"/>
          <w:kern w:val="2"/>
          <w:lang w:eastAsia="zh-CN"/>
        </w:rPr>
        <w:t xml:space="preserve">6.5.3 </w:t>
      </w:r>
      <w:r>
        <w:rPr>
          <w:rFonts w:hint="eastAsia"/>
          <w:lang w:eastAsia="zh-CN"/>
        </w:rPr>
        <w:t xml:space="preserve">生产场所或生产车间入口处应设置更衣室，更衣室应保证工作服与个人服装及其他物品分开放 </w:t>
      </w:r>
    </w:p>
    <w:p>
      <w:pPr>
        <w:rPr>
          <w:lang w:eastAsia="zh-CN"/>
        </w:rPr>
      </w:pPr>
      <w:r>
        <w:rPr>
          <w:rFonts w:hint="eastAsia"/>
          <w:lang w:eastAsia="zh-CN"/>
        </w:rPr>
        <w:t xml:space="preserve">置。 </w:t>
      </w:r>
    </w:p>
    <w:p>
      <w:pPr>
        <w:pStyle w:val="32"/>
        <w:numPr>
          <w:ilvl w:val="1"/>
          <w:numId w:val="0"/>
        </w:numPr>
        <w:spacing w:before="120" w:after="120"/>
      </w:pPr>
    </w:p>
    <w:p>
      <w:pPr>
        <w:pStyle w:val="32"/>
        <w:numPr>
          <w:ilvl w:val="1"/>
          <w:numId w:val="0"/>
        </w:numPr>
        <w:spacing w:before="120" w:after="120"/>
        <w:outlineLvl w:val="1"/>
      </w:pPr>
      <w:bookmarkStart w:id="19" w:name="_Toc152662568"/>
      <w:r>
        <w:rPr>
          <w:rFonts w:hint="eastAsia"/>
        </w:rPr>
        <w:t>6.6 通风和照明设施</w:t>
      </w:r>
      <w:bookmarkEnd w:id="19"/>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6.6.1 </w:t>
      </w:r>
      <w:r>
        <w:rPr>
          <w:rFonts w:hint="eastAsia"/>
          <w:lang w:eastAsia="zh-CN"/>
        </w:rPr>
        <w:t xml:space="preserve">应具有自然通风或机械通风排气设施。 </w:t>
      </w:r>
    </w:p>
    <w:p>
      <w:pPr>
        <w:rPr>
          <w:lang w:eastAsia="zh-CN"/>
        </w:rPr>
      </w:pPr>
      <w:r>
        <w:rPr>
          <w:rFonts w:hint="eastAsia" w:ascii="黑体" w:hAnsi="Times New Roman" w:eastAsia="黑体" w:cs="Times New Roman"/>
          <w:snapToGrid/>
          <w:color w:val="auto"/>
          <w:kern w:val="2"/>
          <w:lang w:eastAsia="zh-CN"/>
        </w:rPr>
        <w:t xml:space="preserve">6.6.2 </w:t>
      </w:r>
      <w:r>
        <w:rPr>
          <w:rFonts w:hint="eastAsia"/>
          <w:lang w:eastAsia="zh-CN"/>
        </w:rPr>
        <w:t xml:space="preserve">进、排气口应装有防止虫害侵入的网罩等设施，通风排气设施应易于清洁、维修或更换。 </w:t>
      </w:r>
    </w:p>
    <w:p>
      <w:pPr>
        <w:rPr>
          <w:lang w:eastAsia="zh-CN"/>
        </w:rPr>
      </w:pPr>
      <w:r>
        <w:rPr>
          <w:rFonts w:hint="eastAsia" w:ascii="黑体" w:hAnsi="Times New Roman" w:eastAsia="黑体" w:cs="Times New Roman"/>
          <w:snapToGrid/>
          <w:color w:val="auto"/>
          <w:kern w:val="2"/>
          <w:lang w:eastAsia="zh-CN"/>
        </w:rPr>
        <w:t xml:space="preserve">6.6.3  </w:t>
      </w:r>
      <w:r>
        <w:rPr>
          <w:rFonts w:hint="eastAsia"/>
          <w:lang w:eastAsia="zh-CN"/>
        </w:rPr>
        <w:t>加工场所有能满足生产和操作需要的自然采光或有防护的人工照明设施。</w:t>
      </w:r>
    </w:p>
    <w:p>
      <w:pPr>
        <w:rPr>
          <w:lang w:eastAsia="zh-CN"/>
        </w:rPr>
      </w:pPr>
    </w:p>
    <w:p>
      <w:pPr>
        <w:pStyle w:val="32"/>
        <w:numPr>
          <w:ilvl w:val="1"/>
          <w:numId w:val="0"/>
        </w:numPr>
        <w:spacing w:before="120" w:after="120"/>
        <w:outlineLvl w:val="1"/>
      </w:pPr>
      <w:bookmarkStart w:id="20" w:name="_Toc152662569"/>
      <w:r>
        <w:rPr>
          <w:rFonts w:hint="eastAsia"/>
        </w:rPr>
        <w:t>6.7 废弃物和仓储设施</w:t>
      </w:r>
      <w:bookmarkEnd w:id="20"/>
      <w:r>
        <w:rPr>
          <w:rFonts w:hint="eastAsia"/>
        </w:rPr>
        <w:t xml:space="preserve"> </w:t>
      </w:r>
    </w:p>
    <w:p>
      <w:pPr>
        <w:rPr>
          <w:lang w:eastAsia="zh-CN"/>
        </w:rPr>
      </w:pPr>
      <w:r>
        <w:rPr>
          <w:rFonts w:hint="eastAsia"/>
          <w:lang w:eastAsia="zh-CN"/>
        </w:rPr>
        <w:t xml:space="preserve">6.7.1 应配备带盖、防渗漏、易于清洁的废弃物存放专用设施。 </w:t>
      </w:r>
    </w:p>
    <w:p>
      <w:pPr>
        <w:rPr>
          <w:lang w:eastAsia="zh-CN"/>
        </w:rPr>
      </w:pPr>
      <w:r>
        <w:rPr>
          <w:rFonts w:hint="eastAsia"/>
          <w:lang w:eastAsia="zh-CN"/>
        </w:rPr>
        <w:t xml:space="preserve">6.7.2 应具有与所加工食品的数量、贮存要求相适应的仓储设施，不得露天存放。杀虫剂、消毒剂、清洁剂、润滑剂、 燃料等物质应明确标识，并与食品及包装材料等分隔放置。 </w:t>
      </w:r>
    </w:p>
    <w:p>
      <w:pPr>
        <w:rPr>
          <w:lang w:eastAsia="zh-CN"/>
        </w:rPr>
      </w:pPr>
      <w:r>
        <w:rPr>
          <w:rFonts w:hint="eastAsia"/>
          <w:lang w:eastAsia="zh-CN"/>
        </w:rPr>
        <w:t xml:space="preserve">6.7.3 应根据食品生产的特点，配备适宜的冷藏、冷冻等设施。 </w:t>
      </w:r>
    </w:p>
    <w:p>
      <w:pPr>
        <w:rPr>
          <w:lang w:eastAsia="zh-CN"/>
        </w:rPr>
      </w:pPr>
    </w:p>
    <w:p>
      <w:pPr>
        <w:pStyle w:val="32"/>
        <w:numPr>
          <w:ilvl w:val="1"/>
          <w:numId w:val="0"/>
        </w:numPr>
        <w:spacing w:before="120" w:after="120"/>
        <w:outlineLvl w:val="1"/>
      </w:pPr>
      <w:bookmarkStart w:id="21" w:name="_Toc152662570"/>
      <w:r>
        <w:rPr>
          <w:rFonts w:hint="eastAsia"/>
        </w:rPr>
        <w:t>6.8 设施材质</w:t>
      </w:r>
      <w:bookmarkEnd w:id="21"/>
      <w:r>
        <w:rPr>
          <w:rFonts w:hint="eastAsia"/>
        </w:rPr>
        <w:t xml:space="preserve"> </w:t>
      </w:r>
    </w:p>
    <w:p>
      <w:pPr>
        <w:widowControl w:val="0"/>
        <w:kinsoku/>
        <w:autoSpaceDE/>
        <w:autoSpaceDN/>
        <w:adjustRightInd/>
        <w:snapToGrid/>
        <w:ind w:firstLine="420" w:firstLineChars="200"/>
        <w:jc w:val="both"/>
        <w:textAlignment w:val="auto"/>
        <w:rPr>
          <w:rFonts w:ascii="Times New Roman" w:hAnsi="Times New Roman" w:eastAsia="宋体" w:cs="Times New Roman"/>
          <w:snapToGrid/>
          <w:color w:val="auto"/>
          <w:kern w:val="2"/>
          <w:szCs w:val="24"/>
          <w:lang w:eastAsia="zh-CN"/>
        </w:rPr>
      </w:pPr>
      <w:r>
        <w:rPr>
          <w:rFonts w:hint="eastAsia" w:ascii="Times New Roman" w:hAnsi="Times New Roman" w:eastAsia="宋体" w:cs="Times New Roman"/>
          <w:snapToGrid/>
          <w:color w:val="auto"/>
          <w:kern w:val="2"/>
          <w:szCs w:val="24"/>
          <w:lang w:eastAsia="zh-CN"/>
        </w:rPr>
        <w:t xml:space="preserve">直接接触食品物料的设备、设施、工具、容器等的材质符合国家要求的质量安全标准。直接与食品原料、半成品、成品等接触的容器、工具和设备应使用无毒、无味、耐腐蚀、不易脱落、表面光滑，易于清洁的材料制作，鼓励使用不锈钢、陶瓷等材料。 </w:t>
      </w:r>
    </w:p>
    <w:p>
      <w:pPr>
        <w:rPr>
          <w:lang w:eastAsia="zh-CN"/>
        </w:rPr>
      </w:pPr>
    </w:p>
    <w:p>
      <w:pPr>
        <w:pStyle w:val="32"/>
        <w:numPr>
          <w:ilvl w:val="1"/>
          <w:numId w:val="0"/>
        </w:numPr>
        <w:spacing w:before="120" w:after="120"/>
        <w:outlineLvl w:val="1"/>
      </w:pPr>
      <w:bookmarkStart w:id="22" w:name="_Toc152662571"/>
      <w:r>
        <w:rPr>
          <w:rFonts w:hint="eastAsia"/>
        </w:rPr>
        <w:t>6.9 保养和维护</w:t>
      </w:r>
      <w:bookmarkEnd w:id="22"/>
    </w:p>
    <w:p>
      <w:pPr>
        <w:rPr>
          <w:rFonts w:ascii="Times New Roman" w:hAnsi="Times New Roman" w:eastAsia="宋体" w:cs="Times New Roman"/>
          <w:snapToGrid/>
          <w:color w:val="auto"/>
          <w:kern w:val="2"/>
          <w:szCs w:val="24"/>
          <w:lang w:eastAsia="zh-CN"/>
        </w:rPr>
      </w:pPr>
      <w:r>
        <w:rPr>
          <w:rFonts w:hint="eastAsia"/>
          <w:lang w:eastAsia="zh-CN"/>
        </w:rPr>
        <w:t xml:space="preserve">     </w:t>
      </w:r>
      <w:r>
        <w:rPr>
          <w:rFonts w:hint="eastAsia" w:ascii="Times New Roman" w:hAnsi="Times New Roman" w:eastAsia="宋体" w:cs="Times New Roman"/>
          <w:snapToGrid/>
          <w:color w:val="auto"/>
          <w:kern w:val="2"/>
          <w:szCs w:val="24"/>
          <w:lang w:eastAsia="zh-CN"/>
        </w:rPr>
        <w:t>应做好设备、工具和容器的日常维护、保养和检修。</w:t>
      </w:r>
    </w:p>
    <w:p>
      <w:pPr>
        <w:rPr>
          <w:lang w:eastAsia="zh-CN"/>
        </w:rPr>
      </w:pPr>
    </w:p>
    <w:p>
      <w:pPr>
        <w:pStyle w:val="31"/>
        <w:spacing w:before="240" w:after="240"/>
        <w:outlineLvl w:val="0"/>
        <w:rPr>
          <w:rFonts w:hint="eastAsia"/>
        </w:rPr>
      </w:pPr>
      <w:bookmarkStart w:id="23" w:name="_Toc152662572"/>
      <w:r>
        <w:rPr>
          <w:rFonts w:hint="eastAsia"/>
        </w:rPr>
        <w:t>卫生管理</w:t>
      </w:r>
      <w:bookmarkEnd w:id="23"/>
    </w:p>
    <w:p>
      <w:pPr>
        <w:pStyle w:val="32"/>
        <w:numPr>
          <w:ilvl w:val="1"/>
          <w:numId w:val="0"/>
        </w:numPr>
        <w:spacing w:before="120" w:after="120"/>
        <w:outlineLvl w:val="1"/>
      </w:pPr>
      <w:bookmarkStart w:id="24" w:name="_Toc152662573"/>
      <w:r>
        <w:rPr>
          <w:rFonts w:hint="eastAsia"/>
        </w:rPr>
        <w:t>7.1  设施设备、工具及容器卫生管理</w:t>
      </w:r>
      <w:bookmarkEnd w:id="24"/>
      <w:r>
        <w:rPr>
          <w:rFonts w:hint="eastAsia"/>
        </w:rPr>
        <w:t xml:space="preserve">  </w:t>
      </w:r>
    </w:p>
    <w:p>
      <w:pPr>
        <w:rPr>
          <w:lang w:eastAsia="zh-CN"/>
        </w:rPr>
      </w:pPr>
      <w:r>
        <w:rPr>
          <w:rFonts w:hint="eastAsia" w:ascii="黑体" w:hAnsi="Times New Roman" w:eastAsia="黑体" w:cs="Times New Roman"/>
          <w:snapToGrid/>
          <w:color w:val="auto"/>
          <w:kern w:val="2"/>
          <w:lang w:eastAsia="zh-CN"/>
        </w:rPr>
        <w:t>7</w:t>
      </w:r>
      <w:r>
        <w:rPr>
          <w:rFonts w:ascii="黑体" w:hAnsi="Times New Roman" w:eastAsia="黑体" w:cs="Times New Roman"/>
          <w:snapToGrid/>
          <w:color w:val="auto"/>
          <w:kern w:val="2"/>
          <w:lang w:eastAsia="zh-CN"/>
        </w:rPr>
        <w:t xml:space="preserve">.1.1  </w:t>
      </w:r>
      <w:r>
        <w:rPr>
          <w:lang w:eastAsia="zh-CN"/>
        </w:rPr>
        <w:t>应制定针对生产环境、个体食品生产者、设备及设施等的卫生监控制度，明确职责。</w:t>
      </w:r>
    </w:p>
    <w:p>
      <w:pPr>
        <w:rPr>
          <w:lang w:eastAsia="zh-CN"/>
        </w:rPr>
      </w:pPr>
      <w:r>
        <w:rPr>
          <w:rFonts w:hint="eastAsia" w:ascii="黑体" w:hAnsi="Times New Roman" w:eastAsia="黑体" w:cs="Times New Roman"/>
          <w:snapToGrid/>
          <w:color w:val="auto"/>
          <w:kern w:val="2"/>
          <w:lang w:eastAsia="zh-CN"/>
        </w:rPr>
        <w:t xml:space="preserve">7.1.2  </w:t>
      </w:r>
      <w:r>
        <w:rPr>
          <w:lang w:eastAsia="zh-CN"/>
        </w:rPr>
        <w:t>应建立清洁消毒制度和清洁消毒用具管理制度，清洁消毒前后的设备和工器具应分开放置，妥</w:t>
      </w:r>
    </w:p>
    <w:p>
      <w:r>
        <w:t>善保管，避免交叉污染。</w:t>
      </w:r>
    </w:p>
    <w:p>
      <w:pPr>
        <w:rPr>
          <w:lang w:eastAsia="zh-CN"/>
        </w:rPr>
      </w:pPr>
      <w:r>
        <w:rPr>
          <w:rFonts w:hint="eastAsia" w:ascii="黑体" w:hAnsi="Times New Roman" w:eastAsia="黑体" w:cs="Times New Roman"/>
          <w:snapToGrid/>
          <w:color w:val="auto"/>
          <w:kern w:val="2"/>
          <w:lang w:eastAsia="zh-CN"/>
        </w:rPr>
        <w:t xml:space="preserve">7.1.3  </w:t>
      </w:r>
      <w:r>
        <w:rPr>
          <w:lang w:eastAsia="zh-CN"/>
        </w:rPr>
        <w:t>应建立厂房及设施卫生管理制度，出现问题及时维修或更新。</w:t>
      </w:r>
    </w:p>
    <w:p>
      <w:pPr>
        <w:rPr>
          <w:lang w:eastAsia="zh-CN"/>
        </w:rPr>
      </w:pPr>
      <w:r>
        <w:rPr>
          <w:rFonts w:hint="eastAsia" w:ascii="黑体" w:hAnsi="Times New Roman" w:eastAsia="黑体" w:cs="Times New Roman"/>
          <w:snapToGrid/>
          <w:color w:val="auto"/>
          <w:kern w:val="2"/>
          <w:lang w:eastAsia="zh-CN"/>
        </w:rPr>
        <w:t xml:space="preserve">7.1.4  </w:t>
      </w:r>
      <w:r>
        <w:rPr>
          <w:lang w:eastAsia="zh-CN"/>
        </w:rPr>
        <w:t>应建立并执行个体食品生产者健康管理制度，个体食品生产者应进行健康检查，取得健康证明</w:t>
      </w:r>
    </w:p>
    <w:p>
      <w:pPr>
        <w:rPr>
          <w:lang w:eastAsia="zh-CN"/>
        </w:rPr>
      </w:pPr>
      <w:r>
        <w:rPr>
          <w:lang w:eastAsia="zh-CN"/>
        </w:rPr>
        <w:t>允许上岗，并应接受上岗前培训。</w:t>
      </w:r>
    </w:p>
    <w:p>
      <w:pPr>
        <w:rPr>
          <w:lang w:eastAsia="zh-CN"/>
        </w:rPr>
      </w:pPr>
      <w:r>
        <w:rPr>
          <w:rFonts w:hint="eastAsia" w:ascii="黑体" w:hAnsi="Times New Roman" w:eastAsia="黑体" w:cs="Times New Roman"/>
          <w:snapToGrid/>
          <w:color w:val="auto"/>
          <w:kern w:val="2"/>
          <w:lang w:eastAsia="zh-CN"/>
        </w:rPr>
        <w:t xml:space="preserve">7.1.5  </w:t>
      </w:r>
      <w:r>
        <w:rPr>
          <w:lang w:eastAsia="zh-CN"/>
        </w:rPr>
        <w:t>加强个体食品生产者的管理，进入生产区域不应化妆、染指甲、喷洒香水；不得携带或存放与</w:t>
      </w:r>
    </w:p>
    <w:p>
      <w:pPr>
        <w:rPr>
          <w:lang w:eastAsia="zh-CN"/>
        </w:rPr>
      </w:pPr>
      <w:r>
        <w:rPr>
          <w:lang w:eastAsia="zh-CN"/>
        </w:rPr>
        <w:t>食品生产无关的个人用品。</w:t>
      </w:r>
    </w:p>
    <w:p>
      <w:pPr>
        <w:pStyle w:val="32"/>
        <w:numPr>
          <w:ilvl w:val="1"/>
          <w:numId w:val="0"/>
        </w:numPr>
        <w:spacing w:before="120" w:after="120"/>
      </w:pPr>
    </w:p>
    <w:p>
      <w:pPr>
        <w:pStyle w:val="32"/>
        <w:numPr>
          <w:ilvl w:val="1"/>
          <w:numId w:val="0"/>
        </w:numPr>
        <w:spacing w:before="120" w:after="120"/>
        <w:outlineLvl w:val="1"/>
      </w:pPr>
      <w:bookmarkStart w:id="25" w:name="_Toc152662574"/>
      <w:r>
        <w:rPr>
          <w:rFonts w:hint="eastAsia"/>
        </w:rPr>
        <w:t>7.2  厂房及设施卫生管理</w:t>
      </w:r>
      <w:bookmarkEnd w:id="25"/>
    </w:p>
    <w:p>
      <w:pPr>
        <w:rPr>
          <w:lang w:eastAsia="zh-CN"/>
        </w:rPr>
      </w:pPr>
      <w:r>
        <w:rPr>
          <w:rFonts w:hint="eastAsia" w:ascii="黑体" w:hAnsi="Times New Roman" w:eastAsia="黑体" w:cs="Times New Roman"/>
          <w:snapToGrid/>
          <w:color w:val="auto"/>
          <w:kern w:val="2"/>
          <w:lang w:eastAsia="zh-CN"/>
        </w:rPr>
        <w:t xml:space="preserve">7.2.1  </w:t>
      </w:r>
      <w:r>
        <w:rPr>
          <w:lang w:eastAsia="zh-CN"/>
        </w:rPr>
        <w:t>厂房内各项设施应保持清洁，出现问题及时维修或更新；厂房地面、屋顶、天花板及墙壁有破</w:t>
      </w:r>
    </w:p>
    <w:p>
      <w:pPr>
        <w:rPr>
          <w:lang w:eastAsia="zh-CN"/>
        </w:rPr>
      </w:pPr>
      <w:r>
        <w:rPr>
          <w:lang w:eastAsia="zh-CN"/>
        </w:rPr>
        <w:t>损时，应及时修补。</w:t>
      </w:r>
    </w:p>
    <w:p>
      <w:pPr>
        <w:rPr>
          <w:lang w:eastAsia="zh-CN"/>
        </w:rPr>
      </w:pPr>
      <w:r>
        <w:rPr>
          <w:rFonts w:hint="eastAsia" w:ascii="黑体" w:hAnsi="Times New Roman" w:eastAsia="黑体" w:cs="Times New Roman"/>
          <w:snapToGrid/>
          <w:color w:val="auto"/>
          <w:kern w:val="2"/>
          <w:lang w:eastAsia="zh-CN"/>
        </w:rPr>
        <w:t xml:space="preserve">7.2.2 </w:t>
      </w:r>
      <w:r>
        <w:rPr>
          <w:lang w:eastAsia="zh-CN"/>
        </w:rPr>
        <w:t xml:space="preserve"> 生产、包装、贮存等设备及工器具、生产用管道、裸露食品接触表面等应定期清洁消毒。</w:t>
      </w:r>
    </w:p>
    <w:p>
      <w:pPr>
        <w:pStyle w:val="32"/>
        <w:numPr>
          <w:ilvl w:val="1"/>
          <w:numId w:val="0"/>
        </w:numPr>
        <w:spacing w:before="120" w:after="120"/>
      </w:pPr>
    </w:p>
    <w:p>
      <w:pPr>
        <w:pStyle w:val="32"/>
        <w:numPr>
          <w:ilvl w:val="1"/>
          <w:numId w:val="0"/>
        </w:numPr>
        <w:spacing w:before="120" w:after="120"/>
        <w:outlineLvl w:val="1"/>
      </w:pPr>
      <w:bookmarkStart w:id="26" w:name="_Toc152662575"/>
      <w:r>
        <w:rPr>
          <w:rFonts w:hint="eastAsia"/>
        </w:rPr>
        <w:t>7.3  食品加工人员健康管理与卫生要求</w:t>
      </w:r>
      <w:bookmarkEnd w:id="26"/>
    </w:p>
    <w:p>
      <w:pPr>
        <w:pStyle w:val="33"/>
        <w:numPr>
          <w:ilvl w:val="0"/>
          <w:numId w:val="0"/>
        </w:numPr>
        <w:spacing w:before="120" w:after="120"/>
      </w:pPr>
      <w:r>
        <w:rPr>
          <w:rFonts w:hint="eastAsia"/>
        </w:rPr>
        <w:t>7.3.1  食品加工人员健康管理</w:t>
      </w:r>
    </w:p>
    <w:p>
      <w:pPr>
        <w:rPr>
          <w:lang w:eastAsia="zh-CN"/>
        </w:rPr>
      </w:pPr>
      <w:r>
        <w:fldChar w:fldCharType="begin"/>
      </w:r>
      <w:r>
        <w:instrText xml:space="preserve"> HYPERLINK "6.3.1.1" </w:instrText>
      </w:r>
      <w:r>
        <w:fldChar w:fldCharType="separate"/>
      </w:r>
      <w:r>
        <w:rPr>
          <w:rFonts w:hint="eastAsia" w:ascii="黑体" w:hAnsi="Times New Roman" w:eastAsia="黑体" w:cs="Times New Roman"/>
          <w:snapToGrid/>
          <w:color w:val="auto"/>
          <w:kern w:val="2"/>
          <w:lang w:eastAsia="zh-CN"/>
        </w:rPr>
        <w:t>7.3.1.1</w:t>
      </w:r>
      <w:r>
        <w:rPr>
          <w:rFonts w:hint="eastAsia" w:ascii="黑体" w:hAnsi="Times New Roman" w:eastAsia="黑体" w:cs="Times New Roman"/>
          <w:snapToGrid/>
          <w:color w:val="auto"/>
          <w:kern w:val="2"/>
          <w:lang w:eastAsia="zh-CN"/>
        </w:rPr>
        <w:fldChar w:fldCharType="end"/>
      </w:r>
      <w:r>
        <w:rPr>
          <w:rFonts w:hint="eastAsia" w:ascii="黑体" w:hAnsi="Times New Roman" w:eastAsia="黑体" w:cs="Times New Roman"/>
          <w:snapToGrid/>
          <w:color w:val="auto"/>
          <w:kern w:val="2"/>
          <w:lang w:eastAsia="zh-CN"/>
        </w:rPr>
        <w:t xml:space="preserve">  </w:t>
      </w:r>
      <w:r>
        <w:rPr>
          <w:lang w:eastAsia="zh-CN"/>
        </w:rPr>
        <w:t>应建立并执行食品加工人员健康管理制度。</w:t>
      </w:r>
    </w:p>
    <w:p>
      <w:pPr>
        <w:rPr>
          <w:lang w:eastAsia="zh-CN"/>
        </w:rPr>
      </w:pPr>
      <w:r>
        <w:fldChar w:fldCharType="begin"/>
      </w:r>
      <w:r>
        <w:instrText xml:space="preserve"> HYPERLINK "6.3.1.2" </w:instrText>
      </w:r>
      <w:r>
        <w:fldChar w:fldCharType="separate"/>
      </w:r>
      <w:r>
        <w:rPr>
          <w:rFonts w:hint="eastAsia" w:ascii="黑体" w:hAnsi="Times New Roman" w:eastAsia="黑体" w:cs="Times New Roman"/>
          <w:snapToGrid/>
          <w:color w:val="auto"/>
          <w:kern w:val="2"/>
          <w:lang w:eastAsia="zh-CN"/>
        </w:rPr>
        <w:t>7.3.1.2</w:t>
      </w:r>
      <w:r>
        <w:rPr>
          <w:rFonts w:hint="eastAsia" w:ascii="黑体" w:hAnsi="Times New Roman" w:eastAsia="黑体" w:cs="Times New Roman"/>
          <w:snapToGrid/>
          <w:color w:val="auto"/>
          <w:kern w:val="2"/>
          <w:lang w:eastAsia="zh-CN"/>
        </w:rPr>
        <w:fldChar w:fldCharType="end"/>
      </w:r>
      <w:r>
        <w:rPr>
          <w:rFonts w:hint="eastAsia" w:ascii="黑体" w:hAnsi="Times New Roman" w:eastAsia="黑体" w:cs="Times New Roman"/>
          <w:snapToGrid/>
          <w:color w:val="auto"/>
          <w:kern w:val="2"/>
          <w:lang w:eastAsia="zh-CN"/>
        </w:rPr>
        <w:t xml:space="preserve"> </w:t>
      </w:r>
      <w:r>
        <w:rPr>
          <w:rFonts w:hint="eastAsia"/>
          <w:lang w:eastAsia="zh-CN"/>
        </w:rPr>
        <w:t xml:space="preserve"> 直接从事生产加工的从业人员应取得食品从业人员健康证明，患有霍乱、病毒性肝炎（甲型、 戊型）、活动性肺结核、细菌性和阿米巴性痢疾、伤寒和副伤寒、化脓性或者渗出性皮肤病等有碍食品安全疾病的人员不得从事直接入口食品的工作</w:t>
      </w:r>
      <w:r>
        <w:rPr>
          <w:lang w:eastAsia="zh-CN"/>
        </w:rPr>
        <w:t>。</w:t>
      </w:r>
    </w:p>
    <w:p>
      <w:pPr>
        <w:pStyle w:val="33"/>
        <w:numPr>
          <w:ilvl w:val="0"/>
          <w:numId w:val="0"/>
        </w:numPr>
        <w:spacing w:before="120" w:after="120"/>
      </w:pPr>
      <w:r>
        <w:rPr>
          <w:rFonts w:hint="eastAsia"/>
        </w:rPr>
        <w:t>7.3.2  食品加工人员卫生要求</w:t>
      </w:r>
    </w:p>
    <w:p>
      <w:pPr>
        <w:rPr>
          <w:lang w:eastAsia="zh-CN"/>
        </w:rPr>
      </w:pPr>
      <w:r>
        <w:rPr>
          <w:rFonts w:hint="eastAsia" w:ascii="黑体" w:hAnsi="Times New Roman" w:eastAsia="黑体" w:cs="Times New Roman"/>
          <w:snapToGrid/>
          <w:color w:val="auto"/>
          <w:kern w:val="2"/>
          <w:lang w:eastAsia="zh-CN"/>
        </w:rPr>
        <w:t xml:space="preserve">7.3.2.1 </w:t>
      </w:r>
      <w:r>
        <w:rPr>
          <w:rFonts w:hint="eastAsia"/>
          <w:lang w:eastAsia="zh-CN"/>
        </w:rPr>
        <w:t>进入食品生产场所前应清理个人卫生，不得携带或存放与食品生产无关的个人用品， 防止污染食品。</w:t>
      </w:r>
    </w:p>
    <w:p>
      <w:pPr>
        <w:rPr>
          <w:lang w:eastAsia="zh-CN"/>
        </w:rPr>
      </w:pPr>
      <w:r>
        <w:rPr>
          <w:rFonts w:hint="eastAsia" w:ascii="黑体" w:hAnsi="Times New Roman" w:eastAsia="黑体" w:cs="Times New Roman"/>
          <w:snapToGrid/>
          <w:color w:val="auto"/>
          <w:kern w:val="2"/>
          <w:lang w:eastAsia="zh-CN"/>
        </w:rPr>
        <w:t xml:space="preserve">7.3.2.2 </w:t>
      </w:r>
      <w:r>
        <w:rPr>
          <w:rFonts w:hint="eastAsia"/>
          <w:lang w:eastAsia="zh-CN"/>
        </w:rPr>
        <w:t>关键岗位从业人员了解与所生产食品相关的食品安全法律法规和标准知识。</w:t>
      </w:r>
    </w:p>
    <w:p>
      <w:pPr>
        <w:rPr>
          <w:lang w:eastAsia="zh-CN"/>
        </w:rPr>
      </w:pPr>
      <w:r>
        <w:rPr>
          <w:rFonts w:hint="eastAsia" w:ascii="黑体" w:hAnsi="Times New Roman" w:eastAsia="黑体" w:cs="Times New Roman"/>
          <w:snapToGrid/>
          <w:color w:val="auto"/>
          <w:kern w:val="2"/>
          <w:lang w:eastAsia="zh-CN"/>
        </w:rPr>
        <w:t xml:space="preserve">7.3.2.3 </w:t>
      </w:r>
      <w:r>
        <w:rPr>
          <w:rFonts w:hint="eastAsia"/>
          <w:lang w:eastAsia="zh-CN"/>
        </w:rPr>
        <w:t>操作人员保持个人整洁，穿戴洁净的工作衣、帽、鞋，不留长指甲、不涂指甲油、不佩戴饰物、 不喷洒香水，不在加工场所内吸烟和吐痰。</w:t>
      </w:r>
    </w:p>
    <w:p>
      <w:pPr>
        <w:rPr>
          <w:lang w:eastAsia="zh-CN"/>
        </w:rPr>
      </w:pPr>
      <w:r>
        <w:rPr>
          <w:rFonts w:hint="eastAsia" w:ascii="黑体" w:hAnsi="Times New Roman" w:eastAsia="黑体" w:cs="Times New Roman"/>
          <w:snapToGrid/>
          <w:color w:val="auto"/>
          <w:kern w:val="2"/>
          <w:lang w:eastAsia="zh-CN"/>
        </w:rPr>
        <w:t xml:space="preserve">7.3.2.4 </w:t>
      </w:r>
      <w:r>
        <w:rPr>
          <w:rFonts w:hint="eastAsia"/>
          <w:lang w:eastAsia="zh-CN"/>
        </w:rPr>
        <w:t>生间、接触可能污染食品的物品，或从事与食品加工无关的其他活动后，再次从事食品加工相关 活动，应洗手。在直接入口的食品生产、包装等环节，操作人员应戴口罩，除严格洗手外，应该戴清洁 手套或者用清洁工具接触食品成品。</w:t>
      </w:r>
    </w:p>
    <w:p>
      <w:pPr>
        <w:pStyle w:val="33"/>
        <w:numPr>
          <w:ilvl w:val="0"/>
          <w:numId w:val="0"/>
        </w:numPr>
        <w:spacing w:before="120" w:after="120"/>
      </w:pPr>
      <w:r>
        <w:rPr>
          <w:rFonts w:hint="eastAsia"/>
        </w:rPr>
        <w:t>7.3.3 来访者</w:t>
      </w:r>
    </w:p>
    <w:p>
      <w:pPr>
        <w:rPr>
          <w:lang w:eastAsia="zh-CN"/>
        </w:rPr>
      </w:pPr>
      <w:r>
        <w:rPr>
          <w:rFonts w:hint="eastAsia"/>
          <w:lang w:eastAsia="zh-CN"/>
        </w:rPr>
        <w:t>非食品加工人员不得进入食品生产场所，特殊情况下进入时应遵守和食品加工人员同样的卫生要求。</w:t>
      </w:r>
    </w:p>
    <w:p>
      <w:pPr>
        <w:pStyle w:val="32"/>
        <w:numPr>
          <w:ilvl w:val="1"/>
          <w:numId w:val="0"/>
        </w:numPr>
        <w:spacing w:before="120" w:after="120"/>
      </w:pPr>
    </w:p>
    <w:p>
      <w:pPr>
        <w:pStyle w:val="32"/>
        <w:numPr>
          <w:ilvl w:val="1"/>
          <w:numId w:val="0"/>
        </w:numPr>
        <w:spacing w:before="120" w:after="120"/>
        <w:outlineLvl w:val="1"/>
      </w:pPr>
      <w:bookmarkStart w:id="27" w:name="_Toc152662576"/>
      <w:r>
        <w:rPr>
          <w:rFonts w:hint="eastAsia"/>
        </w:rPr>
        <w:t>7.4 虫害控制</w:t>
      </w:r>
      <w:bookmarkEnd w:id="27"/>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7.4.1 </w:t>
      </w:r>
      <w:r>
        <w:rPr>
          <w:rFonts w:hint="eastAsia"/>
          <w:lang w:eastAsia="zh-CN"/>
        </w:rPr>
        <w:t xml:space="preserve">应保持建筑物完好、环境整洁，防止虫害侵入及孳生。 </w:t>
      </w:r>
    </w:p>
    <w:p>
      <w:pPr>
        <w:rPr>
          <w:lang w:eastAsia="zh-CN"/>
        </w:rPr>
      </w:pPr>
      <w:r>
        <w:rPr>
          <w:rFonts w:hint="eastAsia" w:ascii="黑体" w:hAnsi="Times New Roman" w:eastAsia="黑体" w:cs="Times New Roman"/>
          <w:snapToGrid/>
          <w:color w:val="auto"/>
          <w:kern w:val="2"/>
          <w:lang w:eastAsia="zh-CN"/>
        </w:rPr>
        <w:t xml:space="preserve">7.4.2 </w:t>
      </w:r>
      <w:r>
        <w:rPr>
          <w:rFonts w:hint="eastAsia"/>
          <w:lang w:eastAsia="zh-CN"/>
        </w:rPr>
        <w:t xml:space="preserve">应制定和执行虫害控制措施，并定期检查。 </w:t>
      </w:r>
    </w:p>
    <w:p>
      <w:pPr>
        <w:rPr>
          <w:lang w:eastAsia="zh-CN"/>
        </w:rPr>
      </w:pPr>
      <w:r>
        <w:rPr>
          <w:rFonts w:hint="eastAsia" w:ascii="黑体" w:hAnsi="Times New Roman" w:eastAsia="黑体" w:cs="Times New Roman"/>
          <w:snapToGrid/>
          <w:color w:val="auto"/>
          <w:kern w:val="2"/>
          <w:lang w:eastAsia="zh-CN"/>
        </w:rPr>
        <w:t xml:space="preserve">7.4.3 </w:t>
      </w:r>
      <w:r>
        <w:rPr>
          <w:rFonts w:hint="eastAsia"/>
          <w:lang w:eastAsia="zh-CN"/>
        </w:rPr>
        <w:t>应定期进行除虫灭害工作。</w:t>
      </w:r>
    </w:p>
    <w:p>
      <w:pPr>
        <w:rPr>
          <w:lang w:eastAsia="zh-CN"/>
        </w:rPr>
      </w:pPr>
    </w:p>
    <w:p>
      <w:pPr>
        <w:pStyle w:val="32"/>
        <w:numPr>
          <w:ilvl w:val="1"/>
          <w:numId w:val="0"/>
        </w:numPr>
        <w:spacing w:before="120" w:after="120"/>
        <w:outlineLvl w:val="1"/>
      </w:pPr>
      <w:bookmarkStart w:id="28" w:name="_Toc152662577"/>
      <w:r>
        <w:rPr>
          <w:rFonts w:hint="eastAsia"/>
        </w:rPr>
        <w:t>7.5 废弃物控制</w:t>
      </w:r>
      <w:bookmarkEnd w:id="28"/>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7.5.1 </w:t>
      </w:r>
      <w:r>
        <w:rPr>
          <w:rFonts w:hint="eastAsia"/>
          <w:lang w:eastAsia="zh-CN"/>
        </w:rPr>
        <w:t xml:space="preserve">应制定废弃物存放和清除制度，有特殊要求的废弃物其处理方式应符合有关规定。废弃物应定期清除；易腐败的废弃物应尽快清除；临时废弃物设施内的废弃物应及时清除。 </w:t>
      </w:r>
    </w:p>
    <w:p>
      <w:pPr>
        <w:rPr>
          <w:lang w:eastAsia="zh-CN"/>
        </w:rPr>
      </w:pPr>
      <w:r>
        <w:rPr>
          <w:rFonts w:hint="eastAsia" w:ascii="黑体" w:hAnsi="Times New Roman" w:eastAsia="黑体" w:cs="Times New Roman"/>
          <w:snapToGrid/>
          <w:color w:val="auto"/>
          <w:kern w:val="2"/>
          <w:lang w:eastAsia="zh-CN"/>
        </w:rPr>
        <w:t xml:space="preserve">7.5.2 </w:t>
      </w:r>
      <w:r>
        <w:rPr>
          <w:rFonts w:hint="eastAsia"/>
          <w:lang w:eastAsia="zh-CN"/>
        </w:rPr>
        <w:t>废弃物放置场所应与食品加工场所隔离，防止污染；应防止不良气味或有害有毒气体溢出产生污染；应防止废弃物内的虫害孳生。</w:t>
      </w:r>
    </w:p>
    <w:p>
      <w:pPr>
        <w:rPr>
          <w:lang w:eastAsia="zh-CN"/>
        </w:rPr>
      </w:pPr>
    </w:p>
    <w:p>
      <w:pPr>
        <w:pStyle w:val="31"/>
        <w:spacing w:before="240" w:after="240"/>
        <w:outlineLvl w:val="0"/>
      </w:pPr>
      <w:bookmarkStart w:id="29" w:name="_Toc152662578"/>
      <w:r>
        <w:rPr>
          <w:rFonts w:hint="eastAsia"/>
        </w:rPr>
        <w:t>食品原料和食品添加剂</w:t>
      </w:r>
      <w:bookmarkEnd w:id="29"/>
      <w:r>
        <w:rPr>
          <w:rFonts w:hint="eastAsia"/>
        </w:rPr>
        <w:t xml:space="preserve"> </w:t>
      </w:r>
    </w:p>
    <w:p>
      <w:pPr>
        <w:pStyle w:val="32"/>
        <w:numPr>
          <w:ilvl w:val="1"/>
          <w:numId w:val="0"/>
        </w:numPr>
        <w:spacing w:before="120" w:after="120"/>
        <w:outlineLvl w:val="1"/>
      </w:pPr>
      <w:bookmarkStart w:id="30" w:name="_Toc152662579"/>
      <w:r>
        <w:rPr>
          <w:rFonts w:hint="eastAsia"/>
        </w:rPr>
        <w:t>8.1 基本要求</w:t>
      </w:r>
      <w:bookmarkEnd w:id="30"/>
      <w:r>
        <w:rPr>
          <w:rFonts w:hint="eastAsia"/>
        </w:rPr>
        <w:t xml:space="preserve"> </w:t>
      </w:r>
    </w:p>
    <w:p>
      <w:pPr>
        <w:rPr>
          <w:lang w:eastAsia="zh-CN"/>
        </w:rPr>
      </w:pPr>
      <w:r>
        <w:rPr>
          <w:rFonts w:hint="eastAsia"/>
          <w:lang w:eastAsia="zh-CN"/>
        </w:rPr>
        <w:t>应建立食品原料、食品添加剂和食品相关产品的采购、验收、运输和贮存管理制度，确保所使用的食品原料、食品添加剂和食品相关产品符合国家有关要求。不得将任何危害人体健康和生命安全的物质添加到食品中。</w:t>
      </w:r>
    </w:p>
    <w:p>
      <w:pPr>
        <w:pStyle w:val="32"/>
        <w:numPr>
          <w:ilvl w:val="1"/>
          <w:numId w:val="0"/>
        </w:numPr>
        <w:spacing w:before="120" w:after="120"/>
      </w:pPr>
    </w:p>
    <w:p>
      <w:pPr>
        <w:pStyle w:val="32"/>
        <w:numPr>
          <w:ilvl w:val="1"/>
          <w:numId w:val="0"/>
        </w:numPr>
        <w:spacing w:before="120" w:after="120"/>
        <w:outlineLvl w:val="1"/>
      </w:pPr>
      <w:bookmarkStart w:id="31" w:name="_Toc152662580"/>
      <w:r>
        <w:rPr>
          <w:rFonts w:hint="eastAsia"/>
        </w:rPr>
        <w:t>8.2 进货查验</w:t>
      </w:r>
      <w:bookmarkEnd w:id="31"/>
      <w:r>
        <w:rPr>
          <w:rFonts w:hint="eastAsia"/>
        </w:rPr>
        <w:t xml:space="preserve"> </w:t>
      </w:r>
    </w:p>
    <w:p>
      <w:pPr>
        <w:rPr>
          <w:lang w:eastAsia="zh-CN"/>
        </w:rPr>
      </w:pPr>
      <w:r>
        <w:rPr>
          <w:rFonts w:hint="eastAsia" w:ascii="黑体" w:hAnsi="Times New Roman" w:eastAsia="黑体" w:cs="Times New Roman"/>
          <w:snapToGrid/>
          <w:color w:val="auto"/>
          <w:kern w:val="2"/>
          <w:lang w:eastAsia="zh-CN"/>
        </w:rPr>
        <w:t>8</w:t>
      </w:r>
      <w:r>
        <w:rPr>
          <w:rFonts w:ascii="黑体" w:hAnsi="Times New Roman" w:eastAsia="黑体" w:cs="Times New Roman"/>
          <w:snapToGrid/>
          <w:color w:val="auto"/>
          <w:kern w:val="2"/>
          <w:lang w:eastAsia="zh-CN"/>
        </w:rPr>
        <w:t xml:space="preserve">.2.1 </w:t>
      </w:r>
      <w:r>
        <w:rPr>
          <w:rFonts w:hint="eastAsia"/>
          <w:lang w:eastAsia="zh-CN"/>
        </w:rPr>
        <w:t xml:space="preserve">采购的食品原辅料、食品添加剂和食品相关产品应符合食品安全标准或有关规定的要求。不得使 </w:t>
      </w:r>
    </w:p>
    <w:p>
      <w:pPr>
        <w:rPr>
          <w:lang w:eastAsia="zh-CN"/>
        </w:rPr>
      </w:pPr>
      <w:r>
        <w:rPr>
          <w:rFonts w:hint="eastAsia"/>
          <w:lang w:eastAsia="zh-CN"/>
        </w:rPr>
        <w:t>用非食品原料、回收食品、有毒、有害等法律法规禁止使用的物质。</w:t>
      </w:r>
    </w:p>
    <w:p>
      <w:pPr>
        <w:rPr>
          <w:lang w:eastAsia="zh-CN"/>
        </w:rPr>
      </w:pPr>
      <w:r>
        <w:rPr>
          <w:rFonts w:hint="eastAsia" w:ascii="黑体" w:hAnsi="Times New Roman" w:eastAsia="黑体" w:cs="Times New Roman"/>
          <w:snapToGrid/>
          <w:color w:val="auto"/>
          <w:kern w:val="2"/>
          <w:lang w:eastAsia="zh-CN"/>
        </w:rPr>
        <w:t xml:space="preserve">8.2.2 </w:t>
      </w:r>
      <w:r>
        <w:rPr>
          <w:rFonts w:hint="eastAsia"/>
          <w:lang w:eastAsia="zh-CN"/>
        </w:rPr>
        <w:t xml:space="preserve">采购的食品原辅料、食品添加剂和食品相关产品，应查验供货者的资质文件（许可证、登记证或 </w:t>
      </w:r>
    </w:p>
    <w:p>
      <w:pPr>
        <w:rPr>
          <w:lang w:eastAsia="zh-CN"/>
        </w:rPr>
      </w:pPr>
      <w:r>
        <w:rPr>
          <w:rFonts w:hint="eastAsia"/>
          <w:lang w:eastAsia="zh-CN"/>
        </w:rPr>
        <w:t xml:space="preserve">备案卡等）和产品合格证明文件，并留存进货票据凭证。畜禽肉类还应按规定索取检验、检疫合格证 </w:t>
      </w:r>
    </w:p>
    <w:p>
      <w:pPr>
        <w:rPr>
          <w:lang w:eastAsia="zh-CN"/>
        </w:rPr>
      </w:pPr>
      <w:r>
        <w:rPr>
          <w:rFonts w:hint="eastAsia"/>
          <w:lang w:eastAsia="zh-CN"/>
        </w:rPr>
        <w:t xml:space="preserve">明。使用前应进行外观和感官检验，合格后方可使用。 </w:t>
      </w:r>
    </w:p>
    <w:p>
      <w:pPr>
        <w:rPr>
          <w:lang w:eastAsia="zh-CN"/>
        </w:rPr>
      </w:pPr>
      <w:r>
        <w:rPr>
          <w:rFonts w:hint="eastAsia" w:ascii="黑体" w:hAnsi="Times New Roman" w:eastAsia="黑体" w:cs="Times New Roman"/>
          <w:snapToGrid/>
          <w:color w:val="auto"/>
          <w:kern w:val="2"/>
          <w:lang w:eastAsia="zh-CN"/>
        </w:rPr>
        <w:t xml:space="preserve">8.2.3 </w:t>
      </w:r>
      <w:r>
        <w:rPr>
          <w:rFonts w:hint="eastAsia"/>
          <w:lang w:eastAsia="zh-CN"/>
        </w:rPr>
        <w:t xml:space="preserve">食品原料运输及贮存中应避免日光直射、备有防雨防尘设施；根据食品原料的特点和卫生需要，必要时还应具备保温、冷藏、保鲜等设施。 </w:t>
      </w:r>
    </w:p>
    <w:p>
      <w:pPr>
        <w:rPr>
          <w:lang w:eastAsia="zh-CN"/>
        </w:rPr>
      </w:pPr>
      <w:r>
        <w:rPr>
          <w:rFonts w:hint="eastAsia" w:ascii="黑体" w:hAnsi="Times New Roman" w:eastAsia="黑体" w:cs="Times New Roman"/>
          <w:snapToGrid/>
          <w:color w:val="auto"/>
          <w:kern w:val="2"/>
          <w:lang w:eastAsia="zh-CN"/>
        </w:rPr>
        <w:t xml:space="preserve">8.2.4 </w:t>
      </w:r>
      <w:r>
        <w:rPr>
          <w:rFonts w:hint="eastAsia"/>
          <w:lang w:eastAsia="zh-CN"/>
        </w:rPr>
        <w:t xml:space="preserve">食品原料运输工具和容器应保持清洁、维护良好，必要时应进行消毒。食品原料不得与有毒、 有害物品同时装运，避免污染食品原料。 </w:t>
      </w:r>
    </w:p>
    <w:p>
      <w:pPr>
        <w:rPr>
          <w:lang w:eastAsia="zh-CN"/>
        </w:rPr>
      </w:pPr>
      <w:r>
        <w:rPr>
          <w:rFonts w:hint="eastAsia" w:ascii="黑体" w:hAnsi="Times New Roman" w:eastAsia="黑体" w:cs="Times New Roman"/>
          <w:snapToGrid/>
          <w:color w:val="auto"/>
          <w:kern w:val="2"/>
          <w:lang w:eastAsia="zh-CN"/>
        </w:rPr>
        <w:t xml:space="preserve">8.2.5 </w:t>
      </w:r>
      <w:r>
        <w:rPr>
          <w:rFonts w:hint="eastAsia"/>
          <w:lang w:eastAsia="zh-CN"/>
        </w:rPr>
        <w:t>食品原料仓库应设专人管理，建立管理制度，定期检查质量和卫生情况，及时清理变质或超过保质期的食品原料。仓库出货顺序应遵循先进先出的原则，必要时应根据不同食品原料的特性确定出货 顺序。</w:t>
      </w:r>
    </w:p>
    <w:p>
      <w:pPr>
        <w:pStyle w:val="32"/>
        <w:numPr>
          <w:ilvl w:val="1"/>
          <w:numId w:val="0"/>
        </w:numPr>
        <w:spacing w:before="120" w:after="120"/>
      </w:pPr>
    </w:p>
    <w:p>
      <w:pPr>
        <w:pStyle w:val="32"/>
        <w:numPr>
          <w:ilvl w:val="1"/>
          <w:numId w:val="0"/>
        </w:numPr>
        <w:spacing w:before="120" w:after="120"/>
        <w:outlineLvl w:val="1"/>
      </w:pPr>
      <w:bookmarkStart w:id="32" w:name="_Toc152662581"/>
      <w:r>
        <w:rPr>
          <w:rFonts w:hint="eastAsia"/>
        </w:rPr>
        <w:t>8.3 食品添加剂使用</w:t>
      </w:r>
      <w:bookmarkEnd w:id="32"/>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8.3.1 </w:t>
      </w:r>
      <w:r>
        <w:rPr>
          <w:rFonts w:hint="eastAsia"/>
          <w:lang w:eastAsia="zh-CN"/>
        </w:rPr>
        <w:t xml:space="preserve">食品生产经营者应当按照 GB 2760 等食品安全国家标准使用食品添加剂，如实记录使用的食品 </w:t>
      </w:r>
    </w:p>
    <w:p>
      <w:pPr>
        <w:rPr>
          <w:lang w:eastAsia="zh-CN"/>
        </w:rPr>
      </w:pPr>
      <w:r>
        <w:rPr>
          <w:rFonts w:hint="eastAsia"/>
          <w:lang w:eastAsia="zh-CN"/>
        </w:rPr>
        <w:t xml:space="preserve">添加剂的名称、规格、数量、生产日期和添入食品的名称等内容，并在其生产经营场所的显著位置进行公示。 </w:t>
      </w:r>
    </w:p>
    <w:p>
      <w:pPr>
        <w:rPr>
          <w:lang w:eastAsia="zh-CN"/>
        </w:rPr>
      </w:pPr>
      <w:r>
        <w:rPr>
          <w:rFonts w:hint="eastAsia" w:ascii="黑体" w:hAnsi="Times New Roman" w:eastAsia="黑体" w:cs="Times New Roman"/>
          <w:snapToGrid/>
          <w:color w:val="auto"/>
          <w:kern w:val="2"/>
          <w:lang w:eastAsia="zh-CN"/>
        </w:rPr>
        <w:t xml:space="preserve">8.3.2 </w:t>
      </w:r>
      <w:r>
        <w:rPr>
          <w:rFonts w:hint="eastAsia"/>
          <w:lang w:eastAsia="zh-CN"/>
        </w:rPr>
        <w:t>食品添加剂的贮藏应有专人管理，定期检查质量和卫生情况，及时清理变质或超过保质期的食品添加剂。仓库出货顺序应遵循先进先出的原则，必要时应根据食品添加剂的特性确定出货顺序。</w:t>
      </w:r>
    </w:p>
    <w:p>
      <w:pPr>
        <w:rPr>
          <w:color w:val="auto"/>
          <w:lang w:eastAsia="zh-CN"/>
        </w:rPr>
      </w:pPr>
      <w:r>
        <w:rPr>
          <w:rFonts w:hint="eastAsia"/>
          <w:lang w:eastAsia="zh-CN"/>
        </w:rPr>
        <w:t xml:space="preserve"> </w:t>
      </w:r>
    </w:p>
    <w:p>
      <w:pPr>
        <w:pStyle w:val="32"/>
        <w:numPr>
          <w:ilvl w:val="1"/>
          <w:numId w:val="0"/>
        </w:numPr>
        <w:spacing w:before="120" w:after="120"/>
        <w:outlineLvl w:val="1"/>
      </w:pPr>
      <w:bookmarkStart w:id="33" w:name="_Toc152662582"/>
      <w:r>
        <w:rPr>
          <w:rFonts w:hint="eastAsia"/>
        </w:rPr>
        <w:t>8.4 原辅材料贮存</w:t>
      </w:r>
      <w:bookmarkEnd w:id="33"/>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8.4.1 </w:t>
      </w:r>
      <w:r>
        <w:rPr>
          <w:rFonts w:hint="eastAsia"/>
          <w:lang w:eastAsia="zh-CN"/>
        </w:rPr>
        <w:t xml:space="preserve">贮存环境整洁卫生，温、湿度符合要求。原辅料离地离墙存放，食品添加剂单独存放。 </w:t>
      </w:r>
    </w:p>
    <w:p>
      <w:pPr>
        <w:rPr>
          <w:lang w:eastAsia="zh-CN"/>
        </w:rPr>
      </w:pPr>
      <w:r>
        <w:rPr>
          <w:rFonts w:hint="eastAsia" w:ascii="黑体" w:hAnsi="Times New Roman" w:eastAsia="黑体" w:cs="Times New Roman"/>
          <w:snapToGrid/>
          <w:color w:val="auto"/>
          <w:kern w:val="2"/>
          <w:lang w:eastAsia="zh-CN"/>
        </w:rPr>
        <w:t xml:space="preserve">8.4.2 </w:t>
      </w:r>
      <w:r>
        <w:rPr>
          <w:rFonts w:hint="eastAsia"/>
          <w:lang w:eastAsia="zh-CN"/>
        </w:rPr>
        <w:t xml:space="preserve">原辅材料质量符合要求，不使用过期、失效、变质、污秽不洁、回收及受到其他污染的原辅材 </w:t>
      </w:r>
    </w:p>
    <w:p>
      <w:pPr>
        <w:rPr>
          <w:lang w:eastAsia="zh-CN"/>
        </w:rPr>
      </w:pPr>
      <w:r>
        <w:rPr>
          <w:rFonts w:hint="eastAsia"/>
          <w:lang w:eastAsia="zh-CN"/>
        </w:rPr>
        <w:t xml:space="preserve">料。 </w:t>
      </w:r>
    </w:p>
    <w:p>
      <w:pPr>
        <w:rPr>
          <w:lang w:eastAsia="zh-CN"/>
        </w:rPr>
      </w:pPr>
      <w:r>
        <w:rPr>
          <w:rFonts w:hint="eastAsia" w:ascii="黑体" w:hAnsi="Times New Roman" w:eastAsia="黑体" w:cs="Times New Roman"/>
          <w:snapToGrid/>
          <w:color w:val="auto"/>
          <w:kern w:val="2"/>
          <w:lang w:eastAsia="zh-CN"/>
        </w:rPr>
        <w:t>8.4.3</w:t>
      </w:r>
      <w:r>
        <w:rPr>
          <w:rFonts w:hint="eastAsia"/>
          <w:lang w:eastAsia="zh-CN"/>
        </w:rPr>
        <w:t xml:space="preserve"> 过期、失效、变质、污秽不洁、回收及受到其他污染的原辅材料单独存放，明确标示。 </w:t>
      </w:r>
    </w:p>
    <w:p>
      <w:pPr>
        <w:rPr>
          <w:lang w:eastAsia="zh-CN"/>
        </w:rPr>
      </w:pPr>
    </w:p>
    <w:p>
      <w:pPr>
        <w:pStyle w:val="31"/>
        <w:spacing w:before="240" w:after="240"/>
        <w:outlineLvl w:val="0"/>
      </w:pPr>
      <w:bookmarkStart w:id="34" w:name="_Toc152662583"/>
      <w:r>
        <w:rPr>
          <w:rFonts w:hint="eastAsia"/>
        </w:rPr>
        <w:t>生产过程控制</w:t>
      </w:r>
      <w:bookmarkEnd w:id="34"/>
    </w:p>
    <w:p>
      <w:pPr>
        <w:pStyle w:val="32"/>
        <w:numPr>
          <w:ilvl w:val="1"/>
          <w:numId w:val="0"/>
        </w:numPr>
        <w:spacing w:before="120" w:after="120"/>
        <w:outlineLvl w:val="1"/>
      </w:pPr>
      <w:bookmarkStart w:id="35" w:name="_Toc152662584"/>
      <w:r>
        <w:rPr>
          <w:rFonts w:hint="eastAsia"/>
        </w:rPr>
        <w:t>9.1 基本要求</w:t>
      </w:r>
      <w:bookmarkEnd w:id="35"/>
      <w:r>
        <w:rPr>
          <w:rFonts w:hint="eastAsia"/>
        </w:rPr>
        <w:t xml:space="preserve"> </w:t>
      </w:r>
    </w:p>
    <w:p>
      <w:pPr>
        <w:rPr>
          <w:lang w:eastAsia="zh-CN"/>
        </w:rPr>
      </w:pPr>
      <w:r>
        <w:rPr>
          <w:rFonts w:hint="eastAsia"/>
          <w:lang w:eastAsia="zh-CN"/>
        </w:rPr>
        <w:t xml:space="preserve">食品小作坊不应生产加工下列食品： </w:t>
      </w:r>
    </w:p>
    <w:p>
      <w:pPr>
        <w:rPr>
          <w:lang w:eastAsia="zh-CN"/>
        </w:rPr>
      </w:pPr>
      <w:r>
        <w:rPr>
          <w:rFonts w:hint="eastAsia"/>
          <w:lang w:eastAsia="zh-CN"/>
        </w:rPr>
        <w:t xml:space="preserve">——食品添加剂； </w:t>
      </w:r>
    </w:p>
    <w:p>
      <w:pPr>
        <w:rPr>
          <w:lang w:eastAsia="zh-CN"/>
        </w:rPr>
      </w:pPr>
      <w:r>
        <w:rPr>
          <w:rFonts w:hint="eastAsia"/>
          <w:lang w:eastAsia="zh-CN"/>
        </w:rPr>
        <w:t xml:space="preserve">——乳制品、罐头制品、饮料等食品； </w:t>
      </w:r>
    </w:p>
    <w:p>
      <w:pPr>
        <w:rPr>
          <w:lang w:eastAsia="zh-CN"/>
        </w:rPr>
      </w:pPr>
      <w:r>
        <w:rPr>
          <w:rFonts w:hint="eastAsia"/>
          <w:lang w:eastAsia="zh-CN"/>
        </w:rPr>
        <w:t xml:space="preserve">——保健食品、特殊医学用途配方食品、婴幼儿配方食品； </w:t>
      </w:r>
    </w:p>
    <w:p>
      <w:pPr>
        <w:rPr>
          <w:lang w:eastAsia="zh-CN"/>
        </w:rPr>
      </w:pPr>
      <w:r>
        <w:rPr>
          <w:rFonts w:hint="eastAsia"/>
          <w:lang w:eastAsia="zh-CN"/>
        </w:rPr>
        <w:t xml:space="preserve">——采用非固态法发酵工艺生产的白酒； </w:t>
      </w:r>
    </w:p>
    <w:p>
      <w:pPr>
        <w:rPr>
          <w:lang w:eastAsia="zh-CN"/>
        </w:rPr>
      </w:pPr>
      <w:r>
        <w:rPr>
          <w:rFonts w:hint="eastAsia"/>
          <w:lang w:eastAsia="zh-CN"/>
        </w:rPr>
        <w:t xml:space="preserve">——国家、省和设区的市禁止生产加工的其他食品。 </w:t>
      </w:r>
    </w:p>
    <w:p>
      <w:pPr>
        <w:pStyle w:val="32"/>
        <w:numPr>
          <w:ilvl w:val="1"/>
          <w:numId w:val="0"/>
        </w:numPr>
        <w:spacing w:before="120" w:after="120"/>
      </w:pPr>
    </w:p>
    <w:p>
      <w:pPr>
        <w:pStyle w:val="32"/>
        <w:numPr>
          <w:ilvl w:val="1"/>
          <w:numId w:val="0"/>
        </w:numPr>
        <w:spacing w:before="120" w:after="120"/>
        <w:outlineLvl w:val="1"/>
      </w:pPr>
      <w:bookmarkStart w:id="36" w:name="_Toc152662585"/>
      <w:r>
        <w:rPr>
          <w:rFonts w:hint="eastAsia"/>
        </w:rPr>
        <w:t>9.2 高桥松饼生产工艺</w:t>
      </w:r>
      <w:bookmarkEnd w:id="36"/>
    </w:p>
    <w:p>
      <w:pPr>
        <w:rPr>
          <w:lang w:eastAsia="zh-CN"/>
        </w:rPr>
      </w:pPr>
      <w:r>
        <w:rPr>
          <w:rFonts w:hint="eastAsia"/>
          <w:lang w:eastAsia="zh-CN"/>
        </w:rPr>
        <w:t>原辅料验收 →</w:t>
      </w:r>
      <w:bookmarkStart w:id="37" w:name="_Hlk152278059"/>
      <w:r>
        <w:rPr>
          <w:rFonts w:hint="eastAsia"/>
          <w:lang w:eastAsia="zh-CN"/>
        </w:rPr>
        <w:t xml:space="preserve"> 配料</w:t>
      </w:r>
      <w:bookmarkEnd w:id="37"/>
      <w:bookmarkStart w:id="38" w:name="_Hlk152277369"/>
      <w:r>
        <w:rPr>
          <w:rFonts w:hint="eastAsia"/>
          <w:lang w:eastAsia="zh-CN"/>
        </w:rPr>
        <w:t xml:space="preserve"> →</w:t>
      </w:r>
      <w:bookmarkEnd w:id="38"/>
      <w:r>
        <w:rPr>
          <w:rFonts w:hint="eastAsia"/>
          <w:lang w:eastAsia="zh-CN"/>
        </w:rPr>
        <w:t xml:space="preserve"> 搅拌 → 包馅 → 成型 → 烘烤 → 冷却 → 包装</w:t>
      </w:r>
    </w:p>
    <w:p>
      <w:pPr>
        <w:pStyle w:val="33"/>
        <w:numPr>
          <w:ilvl w:val="0"/>
          <w:numId w:val="0"/>
        </w:numPr>
        <w:spacing w:before="120" w:after="120"/>
      </w:pPr>
      <w:r>
        <w:rPr>
          <w:rFonts w:hint="eastAsia"/>
        </w:rPr>
        <w:t>9.2.1 原辅料验收</w:t>
      </w:r>
    </w:p>
    <w:p>
      <w:pPr>
        <w:rPr>
          <w:lang w:eastAsia="zh-CN"/>
        </w:rPr>
      </w:pPr>
      <w:r>
        <w:rPr>
          <w:rFonts w:hint="eastAsia" w:ascii="黑体" w:hAnsi="Times New Roman" w:eastAsia="黑体" w:cs="Times New Roman"/>
          <w:snapToGrid/>
          <w:color w:val="auto"/>
          <w:kern w:val="2"/>
          <w:lang w:eastAsia="zh-CN"/>
        </w:rPr>
        <w:t xml:space="preserve">9.2.1.1 </w:t>
      </w:r>
      <w:r>
        <w:rPr>
          <w:lang w:eastAsia="zh-CN"/>
        </w:rPr>
        <w:t>按原辅料的品名、规格、数量和质量验收（原辅料入库验收标准）</w:t>
      </w:r>
    </w:p>
    <w:p>
      <w:pPr>
        <w:rPr>
          <w:lang w:eastAsia="zh-CN"/>
        </w:rPr>
      </w:pPr>
      <w:r>
        <w:rPr>
          <w:rFonts w:hint="eastAsia" w:ascii="黑体" w:hAnsi="Times New Roman" w:eastAsia="黑体" w:cs="Times New Roman"/>
          <w:snapToGrid/>
          <w:color w:val="auto"/>
          <w:kern w:val="2"/>
          <w:lang w:eastAsia="zh-CN"/>
        </w:rPr>
        <w:t xml:space="preserve">9.2.1.2 </w:t>
      </w:r>
      <w:r>
        <w:rPr>
          <w:lang w:eastAsia="zh-CN"/>
        </w:rPr>
        <w:t>原辅料入库验证(营业执照/食品生产许可证/检验报告)</w:t>
      </w:r>
    </w:p>
    <w:p>
      <w:pPr>
        <w:pStyle w:val="33"/>
        <w:numPr>
          <w:ilvl w:val="0"/>
          <w:numId w:val="0"/>
        </w:numPr>
        <w:spacing w:before="120" w:after="120"/>
      </w:pPr>
      <w:r>
        <w:rPr>
          <w:rFonts w:hint="eastAsia"/>
        </w:rPr>
        <w:t>9.2.2 配料</w:t>
      </w:r>
    </w:p>
    <w:p>
      <w:pPr>
        <w:rPr>
          <w:lang w:eastAsia="zh-CN"/>
        </w:rPr>
      </w:pPr>
      <w:r>
        <w:rPr>
          <w:rFonts w:hint="eastAsia" w:ascii="黑体" w:hAnsi="Times New Roman" w:eastAsia="黑体" w:cs="Times New Roman"/>
          <w:snapToGrid/>
          <w:color w:val="auto"/>
          <w:kern w:val="2"/>
          <w:lang w:eastAsia="zh-CN"/>
        </w:rPr>
        <w:t xml:space="preserve">9.2.2.1 </w:t>
      </w:r>
      <w:r>
        <w:rPr>
          <w:rFonts w:hint="eastAsia"/>
          <w:lang w:eastAsia="zh-CN"/>
        </w:rPr>
        <w:t>严格按产品配方料单称量配料：遵循配料的顺序，执行复秤。</w:t>
      </w:r>
    </w:p>
    <w:p>
      <w:pPr>
        <w:rPr>
          <w:lang w:eastAsia="zh-CN"/>
        </w:rPr>
      </w:pPr>
      <w:r>
        <w:rPr>
          <w:rFonts w:hint="eastAsia" w:ascii="黑体" w:hAnsi="Times New Roman" w:eastAsia="黑体" w:cs="Times New Roman"/>
          <w:snapToGrid/>
          <w:color w:val="auto"/>
          <w:kern w:val="2"/>
          <w:lang w:eastAsia="zh-CN"/>
        </w:rPr>
        <w:t xml:space="preserve">9.2.2.2 </w:t>
      </w:r>
      <w:r>
        <w:rPr>
          <w:rFonts w:hint="eastAsia"/>
          <w:lang w:eastAsia="zh-CN"/>
        </w:rPr>
        <w:t>每批料：（1）食品添加剂验证(2)按方配料：食品添加剂的添加量符合GB2760；</w:t>
      </w:r>
    </w:p>
    <w:p>
      <w:pPr>
        <w:pStyle w:val="33"/>
        <w:numPr>
          <w:ilvl w:val="0"/>
          <w:numId w:val="0"/>
        </w:numPr>
        <w:spacing w:before="120" w:after="120"/>
      </w:pPr>
      <w:r>
        <w:rPr>
          <w:rFonts w:hint="eastAsia"/>
        </w:rPr>
        <w:t>9.2.3 搅拌</w:t>
      </w:r>
    </w:p>
    <w:p>
      <w:pPr>
        <w:rPr>
          <w:lang w:eastAsia="zh-CN"/>
        </w:rPr>
      </w:pPr>
      <w:r>
        <w:rPr>
          <w:rFonts w:hint="eastAsia" w:ascii="黑体" w:hAnsi="Times New Roman" w:eastAsia="黑体" w:cs="Times New Roman"/>
          <w:snapToGrid/>
          <w:color w:val="auto"/>
          <w:kern w:val="2"/>
          <w:lang w:eastAsia="zh-CN"/>
        </w:rPr>
        <w:t>9.2.3.1</w:t>
      </w:r>
      <w:r>
        <w:rPr>
          <w:rFonts w:hint="eastAsia"/>
          <w:lang w:eastAsia="zh-CN"/>
        </w:rPr>
        <w:t xml:space="preserve"> 面皮：将猪油和温开水倒入搅拌机内搅拌均匀，加入小麦粉再次搅拌均匀直至达到要求的筋度；</w:t>
      </w:r>
    </w:p>
    <w:p>
      <w:pPr>
        <w:rPr>
          <w:lang w:eastAsia="zh-CN"/>
        </w:rPr>
      </w:pPr>
      <w:r>
        <w:rPr>
          <w:rFonts w:hint="eastAsia" w:ascii="黑体" w:hAnsi="Times New Roman" w:eastAsia="黑体" w:cs="Times New Roman"/>
          <w:snapToGrid/>
          <w:color w:val="auto"/>
          <w:kern w:val="2"/>
          <w:lang w:eastAsia="zh-CN"/>
        </w:rPr>
        <w:t>9.2.3.2</w:t>
      </w:r>
      <w:r>
        <w:rPr>
          <w:rFonts w:hint="eastAsia"/>
          <w:lang w:eastAsia="zh-CN"/>
        </w:rPr>
        <w:t xml:space="preserve"> 油酥：将猪油和小麦粉倒入搅拌机内搅拌均匀；</w:t>
      </w:r>
    </w:p>
    <w:p>
      <w:pPr>
        <w:rPr>
          <w:lang w:eastAsia="zh-CN"/>
        </w:rPr>
      </w:pPr>
      <w:r>
        <w:rPr>
          <w:rFonts w:hint="eastAsia"/>
          <w:lang w:eastAsia="zh-CN"/>
        </w:rPr>
        <w:t>①按工艺配料规定，要求正确、有序将配制的原辅料投入和面机料斗内，并作好实际投料记录，有程序要求的，则按程序规定加入其他辅料。</w:t>
      </w:r>
    </w:p>
    <w:p>
      <w:pPr>
        <w:rPr>
          <w:lang w:eastAsia="zh-CN"/>
        </w:rPr>
      </w:pPr>
      <w:r>
        <w:rPr>
          <w:rFonts w:hint="eastAsia"/>
          <w:lang w:eastAsia="zh-CN"/>
        </w:rPr>
        <w:t>②启动和面机进行充分搅拌，根据工艺要求控制搅拌转速和搅拌时间，搅拌时间一般控制在20</w:t>
      </w:r>
      <w:r>
        <w:rPr>
          <w:lang w:eastAsia="zh-CN"/>
        </w:rPr>
        <w:t>min</w:t>
      </w:r>
      <w:r>
        <w:rPr>
          <w:rFonts w:hint="eastAsia"/>
          <w:lang w:eastAsia="zh-CN"/>
        </w:rPr>
        <w:t>左右。</w:t>
      </w:r>
    </w:p>
    <w:p>
      <w:pPr>
        <w:pStyle w:val="33"/>
        <w:numPr>
          <w:ilvl w:val="0"/>
          <w:numId w:val="0"/>
        </w:numPr>
        <w:spacing w:before="120" w:after="120"/>
      </w:pPr>
      <w:r>
        <w:rPr>
          <w:rFonts w:hint="eastAsia"/>
        </w:rPr>
        <w:t>9.2.4 包馅</w:t>
      </w:r>
    </w:p>
    <w:p>
      <w:pPr>
        <w:ind w:firstLine="420" w:firstLineChars="200"/>
        <w:rPr>
          <w:lang w:eastAsia="zh-CN"/>
        </w:rPr>
      </w:pPr>
      <w:r>
        <w:rPr>
          <w:rFonts w:hint="eastAsia"/>
          <w:lang w:eastAsia="zh-CN"/>
        </w:rPr>
        <w:t>将馅料按照要求包入准备好的面皮内</w:t>
      </w:r>
    </w:p>
    <w:p>
      <w:pPr>
        <w:pStyle w:val="33"/>
        <w:numPr>
          <w:ilvl w:val="0"/>
          <w:numId w:val="0"/>
        </w:numPr>
        <w:spacing w:before="120" w:after="120"/>
      </w:pPr>
      <w:r>
        <w:rPr>
          <w:rFonts w:hint="eastAsia"/>
        </w:rPr>
        <w:t>9.2.5 成型</w:t>
      </w:r>
    </w:p>
    <w:p>
      <w:pPr>
        <w:ind w:firstLine="420" w:firstLineChars="200"/>
        <w:rPr>
          <w:lang w:eastAsia="zh-CN"/>
        </w:rPr>
      </w:pPr>
      <w:r>
        <w:rPr>
          <w:rFonts w:hint="eastAsia"/>
          <w:lang w:eastAsia="zh-CN"/>
        </w:rPr>
        <w:t>按照不同产品不同要求，将产品最终成型。在正常生产过程中，应定时抽查半成品的质量，如发现达不到要求时应中止生产，重新进行调试。</w:t>
      </w:r>
    </w:p>
    <w:p>
      <w:pPr>
        <w:pStyle w:val="33"/>
        <w:numPr>
          <w:ilvl w:val="0"/>
          <w:numId w:val="0"/>
        </w:numPr>
        <w:spacing w:before="120" w:after="120"/>
      </w:pPr>
      <w:r>
        <w:rPr>
          <w:rFonts w:hint="eastAsia"/>
        </w:rPr>
        <w:t>9.2.6 烘烤</w:t>
      </w:r>
    </w:p>
    <w:p>
      <w:pPr>
        <w:ind w:firstLine="420" w:firstLineChars="200"/>
        <w:rPr>
          <w:rFonts w:hint="eastAsia"/>
          <w:lang w:eastAsia="zh-CN"/>
        </w:rPr>
      </w:pPr>
      <w:r>
        <w:rPr>
          <w:rFonts w:hint="eastAsia"/>
          <w:lang w:eastAsia="zh-CN"/>
        </w:rPr>
        <w:t>按烘焙工艺要求设置烘炉的烘焙温度</w:t>
      </w:r>
    </w:p>
    <w:p>
      <w:pPr>
        <w:ind w:firstLine="420" w:firstLineChars="200"/>
        <w:rPr>
          <w:rFonts w:hint="eastAsia"/>
          <w:lang w:eastAsia="zh-CN"/>
        </w:rPr>
      </w:pPr>
    </w:p>
    <w:p>
      <w:pPr>
        <w:ind w:firstLine="420" w:firstLineChars="200"/>
        <w:jc w:val="center"/>
        <w:rPr>
          <w:rFonts w:hint="default"/>
          <w:lang w:val="en-US" w:eastAsia="zh-CN"/>
        </w:rPr>
      </w:pPr>
      <w:r>
        <w:rPr>
          <w:rFonts w:hint="eastAsia"/>
          <w:lang w:val="en-US" w:eastAsia="zh-CN"/>
        </w:rPr>
        <w:t xml:space="preserve">表1    </w:t>
      </w:r>
      <w:r>
        <w:rPr>
          <w:rFonts w:hint="eastAsia"/>
          <w:lang w:eastAsia="zh-CN"/>
        </w:rPr>
        <w:t>烘焙温度</w:t>
      </w:r>
    </w:p>
    <w:tbl>
      <w:tblPr>
        <w:tblStyle w:val="10"/>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2"/>
        <w:gridCol w:w="3315"/>
        <w:gridCol w:w="2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9517" w:type="dxa"/>
            <w:gridSpan w:val="3"/>
            <w:tcBorders>
              <w:top w:val="single" w:color="auto" w:sz="4" w:space="0"/>
              <w:left w:val="single" w:color="auto" w:sz="4" w:space="0"/>
              <w:bottom w:val="single" w:color="auto" w:sz="4" w:space="0"/>
              <w:right w:val="single" w:color="auto" w:sz="4" w:space="0"/>
            </w:tcBorders>
            <w:vAlign w:val="center"/>
          </w:tcPr>
          <w:p>
            <w:pPr>
              <w:jc w:val="center"/>
              <w:rPr>
                <w:sz w:val="18"/>
                <w:szCs w:val="18"/>
              </w:rPr>
            </w:pPr>
            <w:r>
              <w:rPr>
                <w:rFonts w:hint="eastAsia"/>
                <w:sz w:val="18"/>
                <w:szCs w:val="18"/>
              </w:rPr>
              <w:t>平板炉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4002"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 w:val="18"/>
                <w:szCs w:val="18"/>
                <w:lang w:val="en-US" w:eastAsia="zh-CN"/>
              </w:rPr>
            </w:pPr>
            <w:r>
              <w:rPr>
                <w:rFonts w:hint="eastAsia" w:eastAsia="宋体"/>
                <w:sz w:val="18"/>
                <w:szCs w:val="18"/>
                <w:lang w:val="en-US" w:eastAsia="zh-CN"/>
              </w:rPr>
              <w:t>上火</w:t>
            </w:r>
            <w:r>
              <w:rPr>
                <w:rFonts w:hint="eastAsia"/>
                <w:sz w:val="18"/>
                <w:szCs w:val="18"/>
              </w:rPr>
              <w:t>(℃)</w:t>
            </w:r>
          </w:p>
        </w:tc>
        <w:tc>
          <w:tcPr>
            <w:tcW w:w="3315"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sz w:val="18"/>
                <w:szCs w:val="18"/>
                <w:lang w:val="en-US" w:eastAsia="zh-CN"/>
              </w:rPr>
            </w:pPr>
            <w:r>
              <w:rPr>
                <w:rFonts w:hint="eastAsia" w:eastAsia="宋体"/>
                <w:sz w:val="18"/>
                <w:szCs w:val="18"/>
                <w:lang w:val="en-US" w:eastAsia="zh-CN"/>
              </w:rPr>
              <w:t>下火</w:t>
            </w:r>
            <w:r>
              <w:rPr>
                <w:rFonts w:hint="eastAsia"/>
                <w:sz w:val="18"/>
                <w:szCs w:val="18"/>
              </w:rPr>
              <w:t>(℃)</w:t>
            </w:r>
          </w:p>
        </w:tc>
        <w:tc>
          <w:tcPr>
            <w:tcW w:w="2200"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18"/>
                <w:szCs w:val="18"/>
              </w:rPr>
            </w:pPr>
            <w:r>
              <w:rPr>
                <w:rFonts w:hint="eastAsia"/>
                <w:sz w:val="18"/>
                <w:szCs w:val="18"/>
              </w:rPr>
              <w:t>时间(min)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4002"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18"/>
                <w:szCs w:val="18"/>
              </w:rPr>
            </w:pPr>
            <w:r>
              <w:rPr>
                <w:rFonts w:hint="eastAsia"/>
                <w:sz w:val="18"/>
                <w:szCs w:val="18"/>
                <w:lang w:eastAsia="zh-CN"/>
              </w:rPr>
              <w:t>220</w:t>
            </w:r>
            <w:r>
              <w:rPr>
                <w:rFonts w:hint="eastAsia"/>
                <w:sz w:val="18"/>
                <w:szCs w:val="18"/>
              </w:rPr>
              <w:t>-2</w:t>
            </w:r>
            <w:r>
              <w:rPr>
                <w:rFonts w:hint="eastAsia"/>
                <w:sz w:val="18"/>
                <w:szCs w:val="18"/>
                <w:lang w:eastAsia="zh-CN"/>
              </w:rPr>
              <w:t>30</w:t>
            </w:r>
          </w:p>
        </w:tc>
        <w:tc>
          <w:tcPr>
            <w:tcW w:w="3315"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18"/>
                <w:szCs w:val="18"/>
              </w:rPr>
            </w:pPr>
            <w:r>
              <w:rPr>
                <w:rFonts w:hint="eastAsia"/>
                <w:sz w:val="18"/>
                <w:szCs w:val="18"/>
                <w:lang w:eastAsia="zh-CN"/>
              </w:rPr>
              <w:t>220</w:t>
            </w:r>
            <w:r>
              <w:rPr>
                <w:rFonts w:hint="eastAsia"/>
                <w:sz w:val="18"/>
                <w:szCs w:val="18"/>
              </w:rPr>
              <w:t>-2</w:t>
            </w:r>
            <w:r>
              <w:rPr>
                <w:rFonts w:hint="eastAsia"/>
                <w:sz w:val="18"/>
                <w:szCs w:val="18"/>
                <w:lang w:eastAsia="zh-CN"/>
              </w:rPr>
              <w:t>30</w:t>
            </w:r>
          </w:p>
        </w:tc>
        <w:tc>
          <w:tcPr>
            <w:tcW w:w="2200" w:type="dxa"/>
            <w:tcBorders>
              <w:top w:val="single" w:color="auto" w:sz="4" w:space="0"/>
              <w:left w:val="single" w:color="auto" w:sz="4" w:space="0"/>
              <w:bottom w:val="single" w:color="auto" w:sz="4" w:space="0"/>
              <w:right w:val="single" w:color="auto" w:sz="4" w:space="0"/>
            </w:tcBorders>
            <w:vAlign w:val="center"/>
          </w:tcPr>
          <w:p>
            <w:pPr>
              <w:jc w:val="center"/>
              <w:rPr>
                <w:rFonts w:hint="eastAsia"/>
                <w:sz w:val="18"/>
                <w:szCs w:val="18"/>
              </w:rPr>
            </w:pPr>
            <w:r>
              <w:rPr>
                <w:rFonts w:hint="eastAsia"/>
                <w:sz w:val="18"/>
                <w:szCs w:val="18"/>
                <w:lang w:eastAsia="zh-CN"/>
              </w:rPr>
              <w:t>20</w:t>
            </w:r>
            <w:r>
              <w:rPr>
                <w:rFonts w:hint="eastAsia"/>
                <w:sz w:val="18"/>
                <w:szCs w:val="18"/>
              </w:rPr>
              <w:t>-</w:t>
            </w:r>
            <w:r>
              <w:rPr>
                <w:rFonts w:hint="eastAsia"/>
                <w:sz w:val="18"/>
                <w:szCs w:val="18"/>
                <w:lang w:eastAsia="zh-CN"/>
              </w:rPr>
              <w:t>25</w:t>
            </w:r>
          </w:p>
        </w:tc>
      </w:tr>
    </w:tbl>
    <w:p/>
    <w:p>
      <w:pPr>
        <w:pStyle w:val="33"/>
        <w:numPr>
          <w:ilvl w:val="0"/>
          <w:numId w:val="0"/>
        </w:numPr>
        <w:spacing w:before="120" w:after="120"/>
      </w:pPr>
      <w:r>
        <w:rPr>
          <w:rFonts w:hint="eastAsia"/>
        </w:rPr>
        <w:t>9.2.7 冷却</w:t>
      </w:r>
    </w:p>
    <w:p>
      <w:pPr>
        <w:ind w:firstLine="420" w:firstLineChars="200"/>
        <w:rPr>
          <w:lang w:eastAsia="zh-CN"/>
        </w:rPr>
      </w:pPr>
      <w:r>
        <w:rPr>
          <w:rFonts w:hint="eastAsia"/>
          <w:lang w:eastAsia="zh-CN"/>
        </w:rPr>
        <w:t>将烘烤好的产品放入冷却间冷却，直至产品温度不烫手。</w:t>
      </w:r>
    </w:p>
    <w:p>
      <w:pPr>
        <w:pStyle w:val="33"/>
        <w:numPr>
          <w:ilvl w:val="0"/>
          <w:numId w:val="0"/>
        </w:numPr>
        <w:spacing w:before="120" w:after="120"/>
      </w:pPr>
      <w:r>
        <w:rPr>
          <w:rFonts w:hint="eastAsia"/>
        </w:rPr>
        <w:t>9.2.8 包装</w:t>
      </w:r>
    </w:p>
    <w:p>
      <w:pPr>
        <w:ind w:firstLine="420" w:firstLineChars="200"/>
        <w:rPr>
          <w:lang w:eastAsia="zh-CN"/>
        </w:rPr>
      </w:pPr>
      <w:r>
        <w:rPr>
          <w:rFonts w:hint="eastAsia"/>
          <w:lang w:eastAsia="zh-CN"/>
        </w:rPr>
        <w:t>按标准要求装箱，排列整齐，封箱、打包；</w:t>
      </w:r>
    </w:p>
    <w:p>
      <w:pPr>
        <w:pStyle w:val="32"/>
        <w:numPr>
          <w:ilvl w:val="1"/>
          <w:numId w:val="0"/>
        </w:numPr>
        <w:spacing w:before="120" w:after="120"/>
      </w:pPr>
    </w:p>
    <w:p>
      <w:pPr>
        <w:pStyle w:val="32"/>
        <w:numPr>
          <w:ilvl w:val="1"/>
          <w:numId w:val="0"/>
        </w:numPr>
        <w:spacing w:before="120" w:after="120"/>
        <w:outlineLvl w:val="1"/>
      </w:pPr>
      <w:bookmarkStart w:id="39" w:name="_Toc152662586"/>
      <w:r>
        <w:rPr>
          <w:rFonts w:hint="eastAsia"/>
        </w:rPr>
        <w:t>9.3 高桥松饼关键工序和质量控制点</w:t>
      </w:r>
      <w:bookmarkEnd w:id="39"/>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9.3.1 </w:t>
      </w:r>
      <w:r>
        <w:rPr>
          <w:rFonts w:hint="eastAsia"/>
          <w:lang w:eastAsia="zh-CN"/>
        </w:rPr>
        <w:t>应使用符合食品安全要求的食品原料、食品添加剂、食品相关产品。按照工艺和配方进行生产，对关键加工工序及质量控制点进行有效控制。</w:t>
      </w:r>
    </w:p>
    <w:p>
      <w:pPr>
        <w:rPr>
          <w:lang w:eastAsia="zh-CN"/>
        </w:rPr>
      </w:pPr>
      <w:r>
        <w:rPr>
          <w:rFonts w:hint="eastAsia" w:ascii="黑体" w:hAnsi="Times New Roman" w:eastAsia="黑体" w:cs="Times New Roman"/>
          <w:snapToGrid/>
          <w:color w:val="auto"/>
          <w:kern w:val="2"/>
          <w:lang w:eastAsia="zh-CN"/>
        </w:rPr>
        <w:t xml:space="preserve">9.3.2 </w:t>
      </w:r>
      <w:r>
        <w:rPr>
          <w:rFonts w:hint="eastAsia"/>
          <w:lang w:eastAsia="zh-CN"/>
        </w:rPr>
        <w:t>关键控制环节为：配料、烘烤及成型。</w:t>
      </w:r>
    </w:p>
    <w:p>
      <w:pPr>
        <w:rPr>
          <w:rFonts w:ascii="黑体" w:hAnsi="Times New Roman" w:eastAsia="黑体" w:cs="Times New Roman"/>
          <w:snapToGrid/>
          <w:color w:val="auto"/>
          <w:lang w:eastAsia="zh-CN"/>
        </w:rPr>
      </w:pPr>
    </w:p>
    <w:p>
      <w:pPr>
        <w:outlineLvl w:val="1"/>
        <w:rPr>
          <w:rFonts w:ascii="黑体" w:hAnsi="Times New Roman" w:eastAsia="黑体" w:cs="Times New Roman"/>
          <w:snapToGrid/>
          <w:color w:val="auto"/>
          <w:lang w:eastAsia="zh-CN"/>
        </w:rPr>
      </w:pPr>
      <w:bookmarkStart w:id="40" w:name="_Toc152662587"/>
      <w:r>
        <w:rPr>
          <w:rFonts w:hint="eastAsia" w:ascii="黑体" w:hAnsi="Times New Roman" w:eastAsia="黑体" w:cs="Times New Roman"/>
          <w:snapToGrid/>
          <w:color w:val="auto"/>
          <w:lang w:eastAsia="zh-CN"/>
        </w:rPr>
        <w:t>9.4 包装和标识</w:t>
      </w:r>
      <w:bookmarkEnd w:id="40"/>
      <w:r>
        <w:rPr>
          <w:rFonts w:hint="eastAsia" w:ascii="黑体" w:hAnsi="Times New Roman" w:eastAsia="黑体" w:cs="Times New Roman"/>
          <w:snapToGrid/>
          <w:color w:val="auto"/>
          <w:lang w:eastAsia="zh-CN"/>
        </w:rPr>
        <w:t xml:space="preserve"> </w:t>
      </w:r>
    </w:p>
    <w:p>
      <w:pPr>
        <w:rPr>
          <w:lang w:eastAsia="zh-CN"/>
        </w:rPr>
      </w:pPr>
      <w:r>
        <w:rPr>
          <w:rFonts w:hint="eastAsia" w:ascii="黑体" w:hAnsi="Times New Roman" w:eastAsia="黑体" w:cs="Times New Roman"/>
          <w:snapToGrid/>
          <w:color w:val="auto"/>
          <w:kern w:val="2"/>
          <w:lang w:eastAsia="zh-CN"/>
        </w:rPr>
        <w:t xml:space="preserve">9.4.1 </w:t>
      </w:r>
      <w:r>
        <w:rPr>
          <w:rFonts w:hint="eastAsia"/>
          <w:lang w:eastAsia="zh-CN"/>
        </w:rPr>
        <w:t xml:space="preserve">包装材料应能在正常的贮存、运输、销售条件下最大限度的保护食品的安全性和食品品质。 </w:t>
      </w:r>
    </w:p>
    <w:p>
      <w:pPr>
        <w:rPr>
          <w:lang w:eastAsia="zh-CN"/>
        </w:rPr>
      </w:pPr>
      <w:r>
        <w:rPr>
          <w:rFonts w:hint="eastAsia" w:ascii="黑体" w:hAnsi="Times New Roman" w:eastAsia="黑体" w:cs="Times New Roman"/>
          <w:snapToGrid/>
          <w:color w:val="auto"/>
          <w:kern w:val="2"/>
          <w:lang w:eastAsia="zh-CN"/>
        </w:rPr>
        <w:t xml:space="preserve">9.4.2 </w:t>
      </w:r>
      <w:r>
        <w:rPr>
          <w:rFonts w:hint="eastAsia"/>
          <w:lang w:eastAsia="zh-CN"/>
        </w:rPr>
        <w:t xml:space="preserve">生产加工的食品的包装或者容器上应当如实标注食品的名称、成分或者配料表、生产日期、保 </w:t>
      </w:r>
    </w:p>
    <w:p>
      <w:pPr>
        <w:rPr>
          <w:lang w:eastAsia="zh-CN"/>
        </w:rPr>
      </w:pPr>
      <w:r>
        <w:rPr>
          <w:rFonts w:hint="eastAsia"/>
          <w:lang w:eastAsia="zh-CN"/>
        </w:rPr>
        <w:t>质期和食品小作坊的名称、生产地址、联系方式、登记证编号。</w:t>
      </w:r>
    </w:p>
    <w:p>
      <w:pPr>
        <w:rPr>
          <w:lang w:eastAsia="zh-CN"/>
        </w:rPr>
      </w:pPr>
      <w:r>
        <w:rPr>
          <w:rFonts w:hint="eastAsia" w:ascii="黑体" w:hAnsi="Times New Roman" w:eastAsia="黑体" w:cs="Times New Roman"/>
          <w:snapToGrid/>
          <w:color w:val="auto"/>
          <w:kern w:val="2"/>
          <w:lang w:eastAsia="zh-CN"/>
        </w:rPr>
        <w:t xml:space="preserve">9.4.3 </w:t>
      </w:r>
      <w:r>
        <w:rPr>
          <w:rFonts w:hint="eastAsia"/>
          <w:lang w:eastAsia="zh-CN"/>
        </w:rPr>
        <w:t>预包装食品应有标签，其标示的内容应符合 GB 7718 和 GB 28050 的规定。</w:t>
      </w:r>
    </w:p>
    <w:p>
      <w:pPr>
        <w:rPr>
          <w:lang w:eastAsia="zh-CN"/>
        </w:rPr>
      </w:pPr>
      <w:r>
        <w:rPr>
          <w:rFonts w:hint="eastAsia" w:ascii="黑体" w:hAnsi="Times New Roman" w:eastAsia="黑体" w:cs="Times New Roman"/>
          <w:snapToGrid/>
          <w:color w:val="auto"/>
          <w:kern w:val="2"/>
          <w:lang w:eastAsia="zh-CN"/>
        </w:rPr>
        <w:t>9.4.4</w:t>
      </w:r>
      <w:r>
        <w:rPr>
          <w:rFonts w:hint="eastAsia"/>
          <w:lang w:eastAsia="zh-CN"/>
        </w:rPr>
        <w:t xml:space="preserve"> 散装或难以包装和标识的，要在其储存位置及销售容器上标注食品生产加工小作坊核准证编号和 </w:t>
      </w:r>
    </w:p>
    <w:p>
      <w:r>
        <w:rPr>
          <w:rFonts w:hint="eastAsia"/>
          <w:lang w:eastAsia="zh-CN"/>
        </w:rPr>
        <w:t>专用标识。</w:t>
      </w:r>
    </w:p>
    <w:p/>
    <w:p>
      <w:pPr>
        <w:pStyle w:val="31"/>
        <w:spacing w:before="240" w:after="240"/>
        <w:outlineLvl w:val="0"/>
      </w:pPr>
      <w:bookmarkStart w:id="41" w:name="_Toc152662588"/>
      <w:r>
        <w:rPr>
          <w:rFonts w:hint="eastAsia"/>
        </w:rPr>
        <w:t>检验</w:t>
      </w:r>
      <w:bookmarkEnd w:id="41"/>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10.1 </w:t>
      </w:r>
      <w:r>
        <w:rPr>
          <w:rFonts w:hint="eastAsia"/>
          <w:lang w:eastAsia="zh-CN"/>
        </w:rPr>
        <w:t xml:space="preserve">每批食品出厂前，至少应对感官要求、标签标识进行检验，预包装食品还应检验净含量，检验合 </w:t>
      </w:r>
    </w:p>
    <w:p>
      <w:pPr>
        <w:rPr>
          <w:lang w:eastAsia="zh-CN"/>
        </w:rPr>
      </w:pPr>
      <w:r>
        <w:rPr>
          <w:rFonts w:hint="eastAsia"/>
          <w:lang w:eastAsia="zh-CN"/>
        </w:rPr>
        <w:t xml:space="preserve">格后方可出厂。 </w:t>
      </w:r>
    </w:p>
    <w:p>
      <w:pPr>
        <w:rPr>
          <w:lang w:eastAsia="zh-CN"/>
        </w:rPr>
      </w:pPr>
      <w:r>
        <w:rPr>
          <w:rFonts w:hint="eastAsia" w:ascii="黑体" w:hAnsi="Times New Roman" w:eastAsia="黑体" w:cs="Times New Roman"/>
          <w:snapToGrid/>
          <w:color w:val="auto"/>
          <w:kern w:val="2"/>
          <w:lang w:eastAsia="zh-CN"/>
        </w:rPr>
        <w:t xml:space="preserve">10.2 </w:t>
      </w:r>
      <w:r>
        <w:rPr>
          <w:rFonts w:hint="eastAsia"/>
          <w:lang w:eastAsia="zh-CN"/>
        </w:rPr>
        <w:t xml:space="preserve">每年应将产品委托有资质的检验机构按照食品安全标准至少检验一次，并留存检验报告。 </w:t>
      </w:r>
    </w:p>
    <w:p>
      <w:pPr>
        <w:rPr>
          <w:lang w:eastAsia="zh-CN"/>
        </w:rPr>
      </w:pPr>
      <w:r>
        <w:rPr>
          <w:rFonts w:hint="eastAsia" w:ascii="黑体" w:hAnsi="Times New Roman" w:eastAsia="黑体" w:cs="Times New Roman"/>
          <w:snapToGrid/>
          <w:color w:val="auto"/>
          <w:kern w:val="2"/>
          <w:lang w:eastAsia="zh-CN"/>
        </w:rPr>
        <w:t xml:space="preserve">10.3 </w:t>
      </w:r>
      <w:r>
        <w:rPr>
          <w:rFonts w:hint="eastAsia"/>
          <w:lang w:eastAsia="zh-CN"/>
        </w:rPr>
        <w:t xml:space="preserve">新投产、改变生产工艺、或停产 </w:t>
      </w:r>
      <w:r>
        <w:rPr>
          <w:lang w:eastAsia="zh-CN"/>
        </w:rPr>
        <w:t xml:space="preserve">3 </w:t>
      </w:r>
      <w:r>
        <w:rPr>
          <w:rFonts w:hint="eastAsia"/>
          <w:lang w:eastAsia="zh-CN"/>
        </w:rPr>
        <w:t xml:space="preserve">个月以上恢复生产前，应按照食品安全标准进行检验，合格后 </w:t>
      </w:r>
    </w:p>
    <w:p>
      <w:r>
        <w:rPr>
          <w:rFonts w:hint="eastAsia"/>
          <w:lang w:eastAsia="zh-CN"/>
        </w:rPr>
        <w:t>方能生产。</w:t>
      </w:r>
    </w:p>
    <w:p>
      <w:pPr>
        <w:rPr>
          <w:lang w:eastAsia="zh-CN"/>
        </w:rPr>
      </w:pPr>
    </w:p>
    <w:p>
      <w:pPr>
        <w:pStyle w:val="31"/>
        <w:spacing w:before="240" w:after="240"/>
        <w:outlineLvl w:val="0"/>
      </w:pPr>
      <w:bookmarkStart w:id="42" w:name="_Toc152662589"/>
      <w:r>
        <w:rPr>
          <w:rFonts w:hint="eastAsia"/>
        </w:rPr>
        <w:t>贮存和运输管理</w:t>
      </w:r>
      <w:bookmarkEnd w:id="42"/>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11.1 </w:t>
      </w:r>
      <w:r>
        <w:rPr>
          <w:rFonts w:hint="eastAsia"/>
          <w:lang w:eastAsia="zh-CN"/>
        </w:rPr>
        <w:t xml:space="preserve">食品原辅料、食品添加剂、包装材料、成品应分开存放，不得与有毒有害、有腐蚀性的物品混合 </w:t>
      </w:r>
    </w:p>
    <w:p>
      <w:pPr>
        <w:rPr>
          <w:lang w:eastAsia="zh-CN"/>
        </w:rPr>
      </w:pPr>
      <w:r>
        <w:rPr>
          <w:rFonts w:hint="eastAsia"/>
          <w:lang w:eastAsia="zh-CN"/>
        </w:rPr>
        <w:t xml:space="preserve">存放。贮存物品应与墙面、地面保持适当距离，并确保贮存物品先进先出。食品添加剂应单独存放， </w:t>
      </w:r>
    </w:p>
    <w:p>
      <w:pPr>
        <w:rPr>
          <w:lang w:eastAsia="zh-CN"/>
        </w:rPr>
      </w:pPr>
      <w:r>
        <w:rPr>
          <w:rFonts w:hint="eastAsia"/>
          <w:lang w:eastAsia="zh-CN"/>
        </w:rPr>
        <w:t>并标示“食品添加剂”字样，专人管理。</w:t>
      </w:r>
    </w:p>
    <w:p>
      <w:pPr>
        <w:rPr>
          <w:lang w:eastAsia="zh-CN"/>
        </w:rPr>
      </w:pPr>
      <w:r>
        <w:rPr>
          <w:rFonts w:hint="eastAsia" w:ascii="黑体" w:hAnsi="Times New Roman" w:eastAsia="黑体" w:cs="Times New Roman"/>
          <w:snapToGrid/>
          <w:color w:val="auto"/>
          <w:kern w:val="2"/>
          <w:lang w:eastAsia="zh-CN"/>
        </w:rPr>
        <w:t xml:space="preserve">11.2 </w:t>
      </w:r>
      <w:r>
        <w:rPr>
          <w:rFonts w:hint="eastAsia"/>
          <w:lang w:eastAsia="zh-CN"/>
        </w:rPr>
        <w:t xml:space="preserve">清洁剂、消毒剂、杀虫剂、润滑剂、燃料等化学品应明确标识，并与原辅料、半成品、成品、包 </w:t>
      </w:r>
    </w:p>
    <w:p>
      <w:pPr>
        <w:rPr>
          <w:lang w:eastAsia="zh-CN"/>
        </w:rPr>
      </w:pPr>
      <w:r>
        <w:rPr>
          <w:rFonts w:hint="eastAsia"/>
          <w:lang w:eastAsia="zh-CN"/>
        </w:rPr>
        <w:t xml:space="preserve">装材料等分隔放置。 </w:t>
      </w:r>
    </w:p>
    <w:p>
      <w:pPr>
        <w:rPr>
          <w:lang w:eastAsia="zh-CN"/>
        </w:rPr>
      </w:pPr>
      <w:r>
        <w:rPr>
          <w:rFonts w:hint="eastAsia" w:ascii="黑体" w:hAnsi="Times New Roman" w:eastAsia="黑体" w:cs="Times New Roman"/>
          <w:snapToGrid/>
          <w:color w:val="auto"/>
          <w:kern w:val="2"/>
          <w:lang w:eastAsia="zh-CN"/>
        </w:rPr>
        <w:t xml:space="preserve">11.3 </w:t>
      </w:r>
      <w:r>
        <w:rPr>
          <w:rFonts w:hint="eastAsia"/>
          <w:lang w:eastAsia="zh-CN"/>
        </w:rPr>
        <w:t>运输食品时，应根据运输食品的要求提供保护措施，避免阳光直射、受潮和雨淋；不得将食品与有毒、有害或有异味的物品一同运输。</w:t>
      </w:r>
    </w:p>
    <w:p>
      <w:pPr>
        <w:rPr>
          <w:lang w:eastAsia="zh-CN"/>
        </w:rPr>
      </w:pPr>
    </w:p>
    <w:p>
      <w:pPr>
        <w:pStyle w:val="31"/>
        <w:spacing w:before="240" w:after="240"/>
        <w:outlineLvl w:val="0"/>
      </w:pPr>
      <w:bookmarkStart w:id="43" w:name="_Toc152662590"/>
      <w:r>
        <w:rPr>
          <w:rFonts w:hint="eastAsia"/>
        </w:rPr>
        <w:t>产品召回管理</w:t>
      </w:r>
      <w:bookmarkEnd w:id="43"/>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12.1 </w:t>
      </w:r>
      <w:r>
        <w:rPr>
          <w:rFonts w:hint="eastAsia"/>
          <w:lang w:eastAsia="zh-CN"/>
        </w:rPr>
        <w:t xml:space="preserve">当发现生产的食品不符合食品安全标准或存在其他不适于食用的情况时，应立即停止生产，采取 </w:t>
      </w:r>
    </w:p>
    <w:p>
      <w:pPr>
        <w:rPr>
          <w:lang w:eastAsia="zh-CN"/>
        </w:rPr>
      </w:pPr>
      <w:r>
        <w:rPr>
          <w:rFonts w:hint="eastAsia"/>
          <w:lang w:eastAsia="zh-CN"/>
        </w:rPr>
        <w:t xml:space="preserve">召回措施，召回已经销售的食品，通知相关食品经营者和消费者，并记录召回和通知情况。 </w:t>
      </w:r>
    </w:p>
    <w:p>
      <w:pPr>
        <w:rPr>
          <w:lang w:eastAsia="zh-CN"/>
        </w:rPr>
      </w:pPr>
      <w:r>
        <w:rPr>
          <w:rFonts w:hint="eastAsia" w:ascii="黑体" w:hAnsi="Times New Roman" w:eastAsia="黑体" w:cs="Times New Roman"/>
          <w:snapToGrid/>
          <w:color w:val="auto"/>
          <w:kern w:val="2"/>
          <w:lang w:eastAsia="zh-CN"/>
        </w:rPr>
        <w:t xml:space="preserve">12.2 </w:t>
      </w:r>
      <w:r>
        <w:rPr>
          <w:rFonts w:hint="eastAsia"/>
          <w:lang w:eastAsia="zh-CN"/>
        </w:rPr>
        <w:t xml:space="preserve">对召回的食品，应采取无害化处理、销毁等措施，防止其再次流入市场。对因标签、标识或者说 </w:t>
      </w:r>
    </w:p>
    <w:p>
      <w:pPr>
        <w:rPr>
          <w:lang w:eastAsia="zh-CN"/>
        </w:rPr>
      </w:pPr>
      <w:r>
        <w:rPr>
          <w:rFonts w:hint="eastAsia"/>
          <w:lang w:eastAsia="zh-CN"/>
        </w:rPr>
        <w:t>明书不符合食品安全标准而被召回的食品，在采取补救措施且能保证食品安全的情况下可以继续销售， 销售时应向消费者明示补救措施。应将食品召回和处理情况向所在地县级人民政府食品安全监管部门 报告；需要对召回的食品进行无害化处理、销毁的，应提前报告时间、地点。</w:t>
      </w:r>
    </w:p>
    <w:p>
      <w:pPr>
        <w:rPr>
          <w:lang w:eastAsia="zh-CN"/>
        </w:rPr>
      </w:pPr>
      <w:r>
        <w:rPr>
          <w:rFonts w:hint="eastAsia" w:ascii="黑体" w:hAnsi="Times New Roman" w:eastAsia="黑体" w:cs="Times New Roman"/>
          <w:snapToGrid/>
          <w:color w:val="auto"/>
          <w:kern w:val="2"/>
          <w:lang w:eastAsia="zh-CN"/>
        </w:rPr>
        <w:t xml:space="preserve">12.3 </w:t>
      </w:r>
      <w:r>
        <w:rPr>
          <w:rFonts w:hint="eastAsia"/>
          <w:lang w:eastAsia="zh-CN"/>
        </w:rPr>
        <w:t xml:space="preserve">应合理划分记录生产批次，采用批号等方式进行标识，便于食品追溯。 </w:t>
      </w:r>
    </w:p>
    <w:p>
      <w:pPr>
        <w:rPr>
          <w:lang w:eastAsia="zh-CN"/>
        </w:rPr>
      </w:pPr>
    </w:p>
    <w:p>
      <w:pPr>
        <w:pStyle w:val="31"/>
        <w:spacing w:before="240" w:after="240"/>
        <w:outlineLvl w:val="0"/>
      </w:pPr>
      <w:bookmarkStart w:id="44" w:name="_Toc152662591"/>
      <w:r>
        <w:rPr>
          <w:rFonts w:hint="eastAsia"/>
        </w:rPr>
        <w:t>人员培训</w:t>
      </w:r>
      <w:bookmarkEnd w:id="44"/>
      <w:r>
        <w:rPr>
          <w:rFonts w:hint="eastAsia"/>
        </w:rPr>
        <w:t xml:space="preserve"> </w:t>
      </w:r>
    </w:p>
    <w:p>
      <w:pPr>
        <w:rPr>
          <w:lang w:eastAsia="zh-CN"/>
        </w:rPr>
      </w:pPr>
      <w:r>
        <w:rPr>
          <w:rFonts w:hint="eastAsia" w:ascii="黑体" w:hAnsi="Times New Roman" w:eastAsia="黑体" w:cs="Times New Roman"/>
          <w:snapToGrid/>
          <w:color w:val="auto"/>
          <w:kern w:val="2"/>
          <w:lang w:eastAsia="zh-CN"/>
        </w:rPr>
        <w:t xml:space="preserve">13.1  </w:t>
      </w:r>
      <w:r>
        <w:rPr>
          <w:rFonts w:hint="eastAsia"/>
          <w:lang w:eastAsia="zh-CN"/>
        </w:rPr>
        <w:t>根据《上海市食品从业人员食品安全知识监督抽查考核管理办法》规定，食品生产经营者应当依法建立健全食品安全知识培训与考核管理制度，自行组织或者委托有能力的其他机构，对本单位食品从业人员进行食品安全知识分类培训和考核，并建立培训与考核档案。</w:t>
      </w:r>
    </w:p>
    <w:p>
      <w:pPr>
        <w:rPr>
          <w:lang w:eastAsia="zh-CN"/>
        </w:rPr>
      </w:pPr>
      <w:r>
        <w:rPr>
          <w:rFonts w:hint="eastAsia" w:ascii="黑体" w:hAnsi="Times New Roman" w:eastAsia="黑体" w:cs="Times New Roman"/>
          <w:snapToGrid/>
          <w:color w:val="auto"/>
          <w:kern w:val="2"/>
          <w:lang w:eastAsia="zh-CN"/>
        </w:rPr>
        <w:t xml:space="preserve">13.2 </w:t>
      </w:r>
      <w:r>
        <w:rPr>
          <w:rFonts w:hint="eastAsia"/>
          <w:lang w:eastAsia="zh-CN"/>
        </w:rPr>
        <w:t>对食品从业人员食品安全知识开展监督抽查考核应当包括以下内容：</w:t>
      </w:r>
    </w:p>
    <w:p>
      <w:pPr>
        <w:ind w:firstLine="420" w:firstLineChars="200"/>
        <w:rPr>
          <w:lang w:eastAsia="zh-CN"/>
        </w:rPr>
      </w:pPr>
      <w:r>
        <w:rPr>
          <w:rFonts w:hint="eastAsia"/>
          <w:lang w:eastAsia="zh-CN"/>
        </w:rPr>
        <w:t>—</w:t>
      </w:r>
      <w:r>
        <w:rPr>
          <w:rFonts w:hint="eastAsia"/>
          <w:lang w:val="en-US" w:eastAsia="zh-CN"/>
        </w:rPr>
        <w:t xml:space="preserve"> </w:t>
      </w:r>
      <w:r>
        <w:rPr>
          <w:rFonts w:hint="eastAsia"/>
          <w:lang w:eastAsia="zh-CN"/>
        </w:rPr>
        <w:t>—国家和本市食品安全法律、法规、规章和标准；</w:t>
      </w:r>
    </w:p>
    <w:p>
      <w:pPr>
        <w:ind w:firstLine="420" w:firstLineChars="200"/>
        <w:rPr>
          <w:lang w:eastAsia="zh-CN"/>
        </w:rPr>
      </w:pPr>
      <w:r>
        <w:rPr>
          <w:rFonts w:hint="eastAsia"/>
          <w:lang w:eastAsia="zh-CN"/>
        </w:rPr>
        <w:t>—</w:t>
      </w:r>
      <w:r>
        <w:rPr>
          <w:rFonts w:hint="eastAsia"/>
          <w:lang w:val="en-US" w:eastAsia="zh-CN"/>
        </w:rPr>
        <w:t xml:space="preserve"> </w:t>
      </w:r>
      <w:r>
        <w:rPr>
          <w:rFonts w:hint="eastAsia"/>
          <w:lang w:eastAsia="zh-CN"/>
        </w:rPr>
        <w:t>—食品安全基本知识和管理技能；</w:t>
      </w:r>
    </w:p>
    <w:p>
      <w:pPr>
        <w:ind w:firstLine="420" w:firstLineChars="200"/>
      </w:pPr>
      <w:r>
        <w:rPr>
          <w:rFonts w:hint="eastAsia"/>
          <w:lang w:eastAsia="zh-CN"/>
        </w:rPr>
        <w:t>—</w:t>
      </w:r>
      <w:r>
        <w:rPr>
          <w:rFonts w:hint="eastAsia"/>
          <w:lang w:val="en-US" w:eastAsia="zh-CN"/>
        </w:rPr>
        <w:t xml:space="preserve"> </w:t>
      </w:r>
      <w:r>
        <w:rPr>
          <w:rFonts w:hint="eastAsia"/>
          <w:lang w:eastAsia="zh-CN"/>
        </w:rPr>
        <w:t>—</w:t>
      </w:r>
      <w:r>
        <w:rPr>
          <w:rFonts w:hint="eastAsia"/>
        </w:rPr>
        <w:t>食品安全加工操作技能；</w:t>
      </w:r>
    </w:p>
    <w:p>
      <w:pPr>
        <w:ind w:firstLine="420" w:firstLineChars="200"/>
        <w:rPr>
          <w:lang w:eastAsia="zh-CN"/>
        </w:rPr>
      </w:pPr>
      <w:r>
        <w:rPr>
          <w:rFonts w:hint="eastAsia"/>
          <w:lang w:eastAsia="zh-CN"/>
        </w:rPr>
        <w:t>—</w:t>
      </w:r>
      <w:r>
        <w:rPr>
          <w:rFonts w:hint="eastAsia"/>
          <w:lang w:val="en-US" w:eastAsia="zh-CN"/>
        </w:rPr>
        <w:t xml:space="preserve"> </w:t>
      </w:r>
      <w:r>
        <w:rPr>
          <w:rFonts w:hint="eastAsia"/>
          <w:lang w:eastAsia="zh-CN"/>
        </w:rPr>
        <w:t>—食品生产经营过程控制知识；</w:t>
      </w:r>
    </w:p>
    <w:p>
      <w:pPr>
        <w:ind w:firstLine="420" w:firstLineChars="200"/>
        <w:rPr>
          <w:lang w:eastAsia="zh-CN"/>
        </w:rPr>
      </w:pPr>
      <w:r>
        <w:rPr>
          <w:rFonts w:hint="eastAsia"/>
          <w:lang w:eastAsia="zh-CN"/>
        </w:rPr>
        <w:t>—</w:t>
      </w:r>
      <w:r>
        <w:rPr>
          <w:rFonts w:hint="eastAsia"/>
          <w:lang w:val="en-US" w:eastAsia="zh-CN"/>
        </w:rPr>
        <w:t xml:space="preserve"> </w:t>
      </w:r>
      <w:r>
        <w:rPr>
          <w:rFonts w:hint="eastAsia"/>
          <w:lang w:eastAsia="zh-CN"/>
        </w:rPr>
        <w:t>—食品安全事故应急处置知识；</w:t>
      </w:r>
    </w:p>
    <w:p>
      <w:pPr>
        <w:ind w:firstLine="420" w:firstLineChars="200"/>
        <w:rPr>
          <w:lang w:eastAsia="zh-CN"/>
        </w:rPr>
      </w:pPr>
      <w:r>
        <w:rPr>
          <w:rFonts w:hint="eastAsia"/>
          <w:lang w:eastAsia="zh-CN"/>
        </w:rPr>
        <w:t>—</w:t>
      </w:r>
      <w:r>
        <w:rPr>
          <w:rFonts w:hint="eastAsia"/>
          <w:lang w:val="en-US" w:eastAsia="zh-CN"/>
        </w:rPr>
        <w:t xml:space="preserve"> </w:t>
      </w:r>
      <w:r>
        <w:rPr>
          <w:rFonts w:hint="eastAsia"/>
          <w:lang w:eastAsia="zh-CN"/>
        </w:rPr>
        <w:t>—其他依据法律法规和规章的规定需要掌握的内容。</w:t>
      </w:r>
    </w:p>
    <w:p>
      <w:pPr>
        <w:rPr>
          <w:lang w:eastAsia="zh-CN"/>
        </w:rPr>
      </w:pPr>
      <w:r>
        <w:rPr>
          <w:rFonts w:hint="eastAsia" w:ascii="黑体" w:hAnsi="Times New Roman" w:eastAsia="黑体" w:cs="Times New Roman"/>
          <w:snapToGrid/>
          <w:color w:val="auto"/>
          <w:kern w:val="2"/>
          <w:lang w:eastAsia="zh-CN"/>
        </w:rPr>
        <w:t xml:space="preserve">13.3 </w:t>
      </w:r>
      <w:r>
        <w:rPr>
          <w:rFonts w:hint="eastAsia"/>
          <w:lang w:eastAsia="zh-CN"/>
        </w:rPr>
        <w:t>食品从业人员监督抽查考核不合格的，食品生产经营者应当采取停止食品从业人员上岗、组织培训考核或者申请补考等整改措施。</w:t>
      </w:r>
    </w:p>
    <w:p>
      <w:pPr>
        <w:rPr>
          <w:lang w:eastAsia="zh-CN"/>
        </w:rPr>
      </w:pPr>
      <w:r>
        <w:rPr>
          <w:rFonts w:hint="eastAsia" w:ascii="黑体" w:hAnsi="Times New Roman" w:eastAsia="黑体" w:cs="Times New Roman"/>
          <w:snapToGrid/>
          <w:color w:val="auto"/>
          <w:kern w:val="2"/>
          <w:lang w:eastAsia="zh-CN"/>
        </w:rPr>
        <w:t xml:space="preserve">13.4 </w:t>
      </w:r>
      <w:r>
        <w:rPr>
          <w:rFonts w:hint="eastAsia"/>
          <w:lang w:eastAsia="zh-CN"/>
        </w:rPr>
        <w:t>企业建立食品生产相关岗位的培训制度，对职工进行食品安全知识培训，对食品安全总监、食品安全员进行法律、法规、标准和专业知识培训、考核，并对培训、考核情况予以记录，存档备查。</w:t>
      </w:r>
    </w:p>
    <w:p>
      <w:pPr>
        <w:pStyle w:val="31"/>
        <w:spacing w:before="240" w:after="240"/>
        <w:outlineLvl w:val="0"/>
      </w:pPr>
      <w:bookmarkStart w:id="45" w:name="_Toc152662592"/>
      <w:r>
        <w:rPr>
          <w:rFonts w:hint="eastAsia"/>
        </w:rPr>
        <w:t>管理制度及记录</w:t>
      </w:r>
      <w:bookmarkEnd w:id="45"/>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ascii="黑体" w:hAnsi="Times New Roman" w:eastAsia="黑体" w:cs="Times New Roman"/>
          <w:snapToGrid/>
          <w:color w:val="auto"/>
          <w:kern w:val="2"/>
          <w:lang w:eastAsia="zh-CN"/>
        </w:rPr>
        <w:t xml:space="preserve">14.1 </w:t>
      </w:r>
      <w:r>
        <w:rPr>
          <w:rFonts w:hint="eastAsia" w:ascii="宋体" w:hAnsi="宋体" w:eastAsia="宋体" w:cs="宋体"/>
          <w:lang w:eastAsia="zh-CN"/>
        </w:rPr>
        <w:t>落实《企业落实食品安全主体责任监督管理规定》</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ascii="黑体" w:hAnsi="Times New Roman" w:eastAsia="黑体" w:cs="Times New Roman"/>
          <w:snapToGrid/>
          <w:color w:val="auto"/>
          <w:kern w:val="2"/>
          <w:lang w:eastAsia="zh-CN"/>
        </w:rPr>
        <w:t xml:space="preserve">14.1.1 </w:t>
      </w:r>
      <w:r>
        <w:rPr>
          <w:rFonts w:hint="eastAsia"/>
          <w:lang w:eastAsia="zh-CN"/>
        </w:rPr>
        <w:t>企业明确主要负责人、食品安全总监、食品安全专员等岗位职责，建立健全食品安全管理制度（《食品安全总监职责》、《食品安全员守则》），落实食品安全责任制。</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ascii="黑体" w:hAnsi="Times New Roman" w:eastAsia="黑体" w:cs="Times New Roman"/>
          <w:snapToGrid/>
          <w:color w:val="auto"/>
          <w:kern w:val="2"/>
          <w:lang w:eastAsia="zh-CN"/>
        </w:rPr>
        <w:t xml:space="preserve">14.1.2 </w:t>
      </w:r>
      <w:r>
        <w:rPr>
          <w:rFonts w:hint="eastAsia"/>
          <w:lang w:eastAsia="zh-CN"/>
        </w:rPr>
        <w:t>企业主要负责人、食品安全总监、食品安全专员按照对应的工作职责承担相应的食品安全管理责任。</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ascii="黑体" w:hAnsi="Times New Roman" w:eastAsia="黑体" w:cs="Times New Roman"/>
          <w:snapToGrid/>
          <w:color w:val="auto"/>
          <w:kern w:val="2"/>
          <w:lang w:eastAsia="zh-CN"/>
        </w:rPr>
        <w:t xml:space="preserve">14.1.3 </w:t>
      </w:r>
      <w:r>
        <w:rPr>
          <w:rFonts w:hint="eastAsia"/>
          <w:lang w:eastAsia="zh-CN"/>
        </w:rPr>
        <w:t>食品生产经营企业应当建立基于食品安全风险防控的动态管理机制，结合企业实际，落实自查要求，制定食品安全风险管控清单，建立健全日管控、周排查、月调度工作制度和机制。</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ascii="黑体" w:hAnsi="Times New Roman" w:eastAsia="黑体" w:cs="Times New Roman"/>
          <w:snapToGrid/>
          <w:color w:val="auto"/>
          <w:kern w:val="2"/>
          <w:lang w:eastAsia="zh-CN"/>
        </w:rPr>
        <w:t>14.2</w:t>
      </w:r>
      <w:r>
        <w:rPr>
          <w:rFonts w:hint="eastAsia"/>
          <w:lang w:eastAsia="zh-CN"/>
        </w:rPr>
        <w:t xml:space="preserve"> 应建立进货查验记录制度，如实记录购进的食品原辅料、食品添加剂、食品相关产品的名称、规 </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lang w:eastAsia="zh-CN"/>
        </w:rPr>
        <w:t xml:space="preserve">格、数量、生产日期或生产批号、保质期、供货者名称及联系方式、进货日期等内容，并保留相关的 </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lang w:eastAsia="zh-CN"/>
        </w:rPr>
        <w:t xml:space="preserve">票据或凭证。 </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ascii="黑体" w:hAnsi="Times New Roman" w:eastAsia="黑体" w:cs="Times New Roman"/>
          <w:snapToGrid/>
          <w:color w:val="auto"/>
          <w:kern w:val="2"/>
          <w:lang w:eastAsia="zh-CN"/>
        </w:rPr>
        <w:t>14.3</w:t>
      </w:r>
      <w:r>
        <w:rPr>
          <w:rFonts w:hint="eastAsia"/>
          <w:lang w:eastAsia="zh-CN"/>
        </w:rPr>
        <w:t xml:space="preserve"> 应建立生产过程食品安全控制制度，对配料等关键环节进行控制。如实记录。 </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ascii="黑体" w:hAnsi="Times New Roman" w:eastAsia="黑体" w:cs="Times New Roman"/>
          <w:snapToGrid/>
          <w:color w:val="auto"/>
          <w:kern w:val="2"/>
          <w:lang w:eastAsia="zh-CN"/>
        </w:rPr>
        <w:t xml:space="preserve">14.4 </w:t>
      </w:r>
      <w:r>
        <w:rPr>
          <w:rFonts w:hint="eastAsia"/>
          <w:lang w:eastAsia="zh-CN"/>
        </w:rPr>
        <w:t xml:space="preserve">应建立食品销售记录制度，如实记录批发食品的名称、规格、数量、生产日期或生产批号、保质 </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lang w:eastAsia="zh-CN"/>
        </w:rPr>
        <w:t xml:space="preserve">期、购货者名称及联系方式、销售日期等，或者保留载有相关信息的销售票据。   </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lang w:eastAsia="zh-CN"/>
        </w:rPr>
      </w:pPr>
      <w:r>
        <w:rPr>
          <w:rFonts w:hint="eastAsia" w:ascii="黑体" w:hAnsi="Times New Roman" w:eastAsia="黑体" w:cs="Times New Roman"/>
          <w:snapToGrid/>
          <w:color w:val="auto"/>
          <w:kern w:val="2"/>
          <w:lang w:eastAsia="zh-CN"/>
        </w:rPr>
        <w:t xml:space="preserve">14.5 </w:t>
      </w:r>
      <w:r>
        <w:rPr>
          <w:rFonts w:hint="eastAsia"/>
          <w:lang w:eastAsia="zh-CN"/>
        </w:rPr>
        <w:t xml:space="preserve">记录、票据或凭证的保存期限不得少于产品保质期满后六个月；没有明确保质期的，保存期限不 </w:t>
      </w: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pPr>
      <w:r>
        <w:rPr>
          <w:rFonts w:hint="eastAsia"/>
          <w:lang w:eastAsia="zh-CN"/>
        </w:rPr>
        <w:t>得少于</w:t>
      </w:r>
      <w:r>
        <w:rPr>
          <w:rFonts w:hint="eastAsia"/>
          <w:lang w:val="en-US" w:eastAsia="zh-CN"/>
        </w:rPr>
        <w:t>两</w:t>
      </w:r>
      <w:r>
        <w:rPr>
          <w:rFonts w:hint="eastAsia"/>
          <w:lang w:eastAsia="zh-CN"/>
        </w:rPr>
        <w:t>年。</w:t>
      </w:r>
    </w:p>
    <w:p>
      <w:pPr>
        <w:rPr>
          <w:lang w:eastAsia="zh-CN"/>
        </w:rPr>
      </w:pPr>
    </w:p>
    <w:p>
      <w:pPr>
        <w:rPr>
          <w:lang w:eastAsia="zh-CN"/>
        </w:rPr>
      </w:pPr>
    </w:p>
    <w:p>
      <w:pPr>
        <w:rPr>
          <w:lang w:eastAsia="zh-CN"/>
        </w:rPr>
      </w:pPr>
    </w:p>
    <w:p>
      <w:pPr>
        <w:rPr>
          <w:lang w:eastAsia="zh-CN"/>
        </w:rPr>
      </w:pPr>
    </w:p>
    <w:sectPr>
      <w:footerReference r:id="rId4" w:type="default"/>
      <w:pgSz w:w="11906" w:h="16839"/>
      <w:pgMar w:top="782" w:right="1075" w:bottom="1197" w:left="1419" w:header="0" w:footer="1019"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9074"/>
      <w:rPr>
        <w:rFonts w:ascii="宋体" w:hAnsi="宋体" w:eastAsia="宋体" w:cs="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2" w:lineRule="auto"/>
      <w:ind w:left="9074"/>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1"/>
      <w:numFmt w:val="decimal"/>
      <w:pStyle w:val="31"/>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32"/>
      <w:suff w:val="nothing"/>
      <w:lvlText w:val="%1.%2　"/>
      <w:lvlJc w:val="left"/>
      <w:pPr>
        <w:ind w:left="426"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3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708"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isplayBackgroundShape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ZlZTg3ODBmYTI4YWVmMGVmZTJmZWYzNjlmNjY4YzcifQ=="/>
  </w:docVars>
  <w:rsids>
    <w:rsidRoot w:val="003312BF"/>
    <w:rsid w:val="003312BF"/>
    <w:rsid w:val="004A17D5"/>
    <w:rsid w:val="007A522B"/>
    <w:rsid w:val="0082205E"/>
    <w:rsid w:val="00931A63"/>
    <w:rsid w:val="00A11F2B"/>
    <w:rsid w:val="00E060E6"/>
    <w:rsid w:val="079B1637"/>
    <w:rsid w:val="0A8D3D36"/>
    <w:rsid w:val="0D87686B"/>
    <w:rsid w:val="0D950755"/>
    <w:rsid w:val="126859AB"/>
    <w:rsid w:val="13E475F0"/>
    <w:rsid w:val="18A70038"/>
    <w:rsid w:val="18D95B8F"/>
    <w:rsid w:val="1CAD4928"/>
    <w:rsid w:val="20225656"/>
    <w:rsid w:val="24B354D4"/>
    <w:rsid w:val="385B6E18"/>
    <w:rsid w:val="3A2B6739"/>
    <w:rsid w:val="3E4E1FEA"/>
    <w:rsid w:val="49371DDD"/>
    <w:rsid w:val="5AA24261"/>
    <w:rsid w:val="7AE01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8"/>
    <w:qFormat/>
    <w:uiPriority w:val="0"/>
    <w:pPr>
      <w:keepNext/>
      <w:keepLines/>
      <w:spacing w:before="260" w:after="260" w:line="416" w:lineRule="auto"/>
      <w:outlineLvl w:val="1"/>
    </w:pPr>
    <w:rPr>
      <w:rFonts w:ascii="Cambria" w:hAnsi="Cambria" w:eastAsia="宋体"/>
      <w:b/>
      <w:bCs/>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Body Text"/>
    <w:basedOn w:val="1"/>
    <w:autoRedefine/>
    <w:semiHidden/>
    <w:qFormat/>
    <w:uiPriority w:val="0"/>
    <w:rPr>
      <w:rFonts w:ascii="黑体" w:hAnsi="黑体" w:eastAsia="黑体" w:cs="黑体"/>
      <w:sz w:val="28"/>
      <w:szCs w:val="28"/>
    </w:rPr>
  </w:style>
  <w:style w:type="paragraph" w:styleId="5">
    <w:name w:val="toc 3"/>
    <w:basedOn w:val="1"/>
    <w:next w:val="1"/>
    <w:unhideWhenUsed/>
    <w:qFormat/>
    <w:uiPriority w:val="39"/>
    <w:pPr>
      <w:kinsoku/>
      <w:autoSpaceDE/>
      <w:autoSpaceDN/>
      <w:adjustRightInd/>
      <w:snapToGrid/>
      <w:spacing w:after="100" w:line="259" w:lineRule="auto"/>
      <w:ind w:left="440"/>
      <w:textAlignment w:val="auto"/>
    </w:pPr>
    <w:rPr>
      <w:rFonts w:cs="Times New Roman" w:asciiTheme="minorHAnsi" w:hAnsiTheme="minorHAnsi" w:eastAsiaTheme="minorEastAsia"/>
      <w:snapToGrid/>
      <w:color w:val="auto"/>
      <w:sz w:val="22"/>
      <w:szCs w:val="22"/>
      <w:lang w:eastAsia="zh-CN"/>
    </w:rPr>
  </w:style>
  <w:style w:type="paragraph" w:styleId="6">
    <w:name w:val="footer"/>
    <w:basedOn w:val="1"/>
    <w:link w:val="16"/>
    <w:autoRedefine/>
    <w:qFormat/>
    <w:uiPriority w:val="0"/>
    <w:pPr>
      <w:tabs>
        <w:tab w:val="center" w:pos="4153"/>
        <w:tab w:val="right" w:pos="8306"/>
      </w:tabs>
    </w:pPr>
    <w:rPr>
      <w:sz w:val="18"/>
      <w:szCs w:val="18"/>
    </w:rPr>
  </w:style>
  <w:style w:type="paragraph" w:styleId="7">
    <w:name w:val="header"/>
    <w:basedOn w:val="1"/>
    <w:link w:val="15"/>
    <w:qFormat/>
    <w:uiPriority w:val="0"/>
    <w:pPr>
      <w:tabs>
        <w:tab w:val="center" w:pos="4153"/>
        <w:tab w:val="right" w:pos="8306"/>
      </w:tabs>
      <w:jc w:val="center"/>
    </w:pPr>
    <w:rPr>
      <w:sz w:val="18"/>
      <w:szCs w:val="18"/>
    </w:rPr>
  </w:style>
  <w:style w:type="paragraph" w:styleId="8">
    <w:name w:val="toc 1"/>
    <w:basedOn w:val="1"/>
    <w:next w:val="1"/>
    <w:unhideWhenUsed/>
    <w:qFormat/>
    <w:uiPriority w:val="39"/>
    <w:pPr>
      <w:kinsoku/>
      <w:autoSpaceDE/>
      <w:autoSpaceDN/>
      <w:adjustRightInd/>
      <w:snapToGrid/>
      <w:spacing w:after="100" w:line="259" w:lineRule="auto"/>
      <w:textAlignment w:val="auto"/>
    </w:pPr>
    <w:rPr>
      <w:rFonts w:cs="Times New Roman" w:asciiTheme="minorHAnsi" w:hAnsiTheme="minorHAnsi" w:eastAsiaTheme="minorEastAsia"/>
      <w:snapToGrid/>
      <w:color w:val="auto"/>
      <w:sz w:val="22"/>
      <w:szCs w:val="22"/>
      <w:lang w:eastAsia="zh-CN"/>
    </w:rPr>
  </w:style>
  <w:style w:type="paragraph" w:styleId="9">
    <w:name w:val="toc 2"/>
    <w:basedOn w:val="1"/>
    <w:next w:val="1"/>
    <w:autoRedefine/>
    <w:unhideWhenUsed/>
    <w:qFormat/>
    <w:uiPriority w:val="39"/>
    <w:pPr>
      <w:kinsoku/>
      <w:autoSpaceDE/>
      <w:autoSpaceDN/>
      <w:adjustRightInd/>
      <w:snapToGrid/>
      <w:spacing w:after="100" w:line="259" w:lineRule="auto"/>
      <w:ind w:left="220"/>
      <w:textAlignment w:val="auto"/>
    </w:pPr>
    <w:rPr>
      <w:rFonts w:cs="Times New Roman" w:asciiTheme="minorHAnsi" w:hAnsiTheme="minorHAnsi" w:eastAsiaTheme="minorEastAsia"/>
      <w:snapToGrid/>
      <w:color w:val="auto"/>
      <w:sz w:val="22"/>
      <w:szCs w:val="22"/>
      <w:lang w:eastAsia="zh-CN"/>
    </w:rPr>
  </w:style>
  <w:style w:type="table" w:styleId="11">
    <w:name w:val="Table Grid"/>
    <w:basedOn w:val="10"/>
    <w:autoRedefine/>
    <w:qFormat/>
    <w:uiPriority w:val="0"/>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Hyperlink"/>
    <w:basedOn w:val="12"/>
    <w:autoRedefine/>
    <w:unhideWhenUsed/>
    <w:qFormat/>
    <w:uiPriority w:val="99"/>
    <w:rPr>
      <w:color w:val="0000FF" w:themeColor="hyperlink"/>
      <w:u w:val="single"/>
      <w14:textFill>
        <w14:solidFill>
          <w14:schemeClr w14:val="hlink"/>
        </w14:solidFill>
      </w14:textFill>
    </w:rPr>
  </w:style>
  <w:style w:type="table" w:customStyle="1" w:styleId="14">
    <w:name w:val="Table Normal"/>
    <w:semiHidden/>
    <w:unhideWhenUsed/>
    <w:qFormat/>
    <w:uiPriority w:val="0"/>
    <w:tblPr>
      <w:tblCellMar>
        <w:top w:w="0" w:type="dxa"/>
        <w:left w:w="0" w:type="dxa"/>
        <w:bottom w:w="0" w:type="dxa"/>
        <w:right w:w="0" w:type="dxa"/>
      </w:tblCellMar>
    </w:tblPr>
  </w:style>
  <w:style w:type="character" w:customStyle="1" w:styleId="15">
    <w:name w:val="页眉 字符"/>
    <w:basedOn w:val="12"/>
    <w:link w:val="7"/>
    <w:qFormat/>
    <w:uiPriority w:val="0"/>
    <w:rPr>
      <w:rFonts w:ascii="Arial" w:hAnsi="Arial" w:eastAsia="Arial" w:cs="Arial"/>
      <w:snapToGrid w:val="0"/>
      <w:color w:val="000000"/>
      <w:sz w:val="18"/>
      <w:szCs w:val="18"/>
      <w:lang w:eastAsia="en-US"/>
    </w:rPr>
  </w:style>
  <w:style w:type="character" w:customStyle="1" w:styleId="16">
    <w:name w:val="页脚 字符"/>
    <w:basedOn w:val="12"/>
    <w:link w:val="6"/>
    <w:autoRedefine/>
    <w:qFormat/>
    <w:uiPriority w:val="0"/>
    <w:rPr>
      <w:rFonts w:ascii="Arial" w:hAnsi="Arial" w:eastAsia="Arial" w:cs="Arial"/>
      <w:snapToGrid w:val="0"/>
      <w:color w:val="000000"/>
      <w:sz w:val="18"/>
      <w:szCs w:val="18"/>
      <w:lang w:eastAsia="en-US"/>
    </w:rPr>
  </w:style>
  <w:style w:type="paragraph" w:styleId="17">
    <w:name w:val="List Paragraph"/>
    <w:basedOn w:val="1"/>
    <w:qFormat/>
    <w:uiPriority w:val="34"/>
    <w:pPr>
      <w:widowControl w:val="0"/>
      <w:kinsoku/>
      <w:autoSpaceDE/>
      <w:autoSpaceDN/>
      <w:adjustRightInd/>
      <w:snapToGrid/>
      <w:ind w:firstLine="420" w:firstLineChars="200"/>
      <w:jc w:val="both"/>
      <w:textAlignment w:val="auto"/>
    </w:pPr>
    <w:rPr>
      <w:rFonts w:asciiTheme="minorHAnsi" w:hAnsiTheme="minorHAnsi" w:eastAsiaTheme="minorEastAsia" w:cstheme="minorBidi"/>
      <w:snapToGrid/>
      <w:color w:val="auto"/>
      <w:kern w:val="2"/>
      <w:szCs w:val="22"/>
      <w:lang w:eastAsia="zh-CN"/>
    </w:rPr>
  </w:style>
  <w:style w:type="character" w:customStyle="1" w:styleId="18">
    <w:name w:val="标题 2 字符"/>
    <w:link w:val="3"/>
    <w:autoRedefine/>
    <w:qFormat/>
    <w:uiPriority w:val="0"/>
    <w:rPr>
      <w:rFonts w:ascii="Cambria" w:hAnsi="Cambria" w:eastAsia="宋体"/>
      <w:b/>
      <w:bCs/>
      <w:szCs w:val="32"/>
    </w:rPr>
  </w:style>
  <w:style w:type="paragraph" w:customStyle="1" w:styleId="19">
    <w:name w:val="其他标准称谓"/>
    <w:next w:val="1"/>
    <w:qFormat/>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20">
    <w:name w:val="封面标准号2"/>
    <w:qFormat/>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21">
    <w:name w:val="封面标准代替信息"/>
    <w:qFormat/>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22">
    <w:name w:val="其他发布部门"/>
    <w:basedOn w:val="23"/>
    <w:autoRedefine/>
    <w:qFormat/>
    <w:uiPriority w:val="0"/>
    <w:pPr>
      <w:framePr w:wrap="around" w:y="15310"/>
      <w:spacing w:line="0" w:lineRule="atLeast"/>
    </w:pPr>
    <w:rPr>
      <w:rFonts w:ascii="黑体" w:eastAsia="黑体"/>
      <w:b w:val="0"/>
    </w:rPr>
  </w:style>
  <w:style w:type="paragraph" w:customStyle="1" w:styleId="23">
    <w:name w:val="发布部门"/>
    <w:next w:val="24"/>
    <w:autoRedefine/>
    <w:qFormat/>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2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5">
    <w:name w:val="其他发布日期"/>
    <w:basedOn w:val="26"/>
    <w:autoRedefine/>
    <w:qFormat/>
    <w:uiPriority w:val="0"/>
    <w:pPr>
      <w:framePr w:wrap="around" w:vAnchor="page" w:hAnchor="text" w:x="1419"/>
    </w:pPr>
  </w:style>
  <w:style w:type="paragraph" w:customStyle="1" w:styleId="26">
    <w:name w:val="发布日期"/>
    <w:autoRedefine/>
    <w:qFormat/>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27">
    <w:name w:val="其他实施日期"/>
    <w:basedOn w:val="28"/>
    <w:qFormat/>
    <w:uiPriority w:val="0"/>
    <w:pPr>
      <w:framePr w:wrap="around"/>
    </w:pPr>
  </w:style>
  <w:style w:type="paragraph" w:customStyle="1" w:styleId="28">
    <w:name w:val="实施日期"/>
    <w:basedOn w:val="26"/>
    <w:autoRedefine/>
    <w:qFormat/>
    <w:uiPriority w:val="0"/>
    <w:pPr>
      <w:framePr w:wrap="around" w:vAnchor="page" w:hAnchor="text"/>
      <w:jc w:val="right"/>
    </w:pPr>
  </w:style>
  <w:style w:type="paragraph" w:customStyle="1" w:styleId="29">
    <w:name w:val="前言、引言标题"/>
    <w:next w:val="24"/>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0">
    <w:name w:val="目次、标准名称标题"/>
    <w:basedOn w:val="1"/>
    <w:next w:val="24"/>
    <w:autoRedefine/>
    <w:qFormat/>
    <w:uiPriority w:val="0"/>
    <w:pPr>
      <w:keepNext/>
      <w:pageBreakBefore/>
      <w:shd w:val="clear" w:color="FFFFFF" w:fill="FFFFFF"/>
      <w:spacing w:before="640" w:after="560" w:line="460" w:lineRule="exact"/>
      <w:jc w:val="center"/>
      <w:outlineLvl w:val="0"/>
    </w:pPr>
    <w:rPr>
      <w:rFonts w:ascii="黑体" w:eastAsia="黑体"/>
      <w:sz w:val="32"/>
      <w:szCs w:val="20"/>
    </w:rPr>
  </w:style>
  <w:style w:type="paragraph" w:customStyle="1" w:styleId="31">
    <w:name w:val="章标题"/>
    <w:next w:val="24"/>
    <w:autoRedefine/>
    <w:qFormat/>
    <w:uiPriority w:val="0"/>
    <w:pPr>
      <w:numPr>
        <w:ilvl w:val="0"/>
        <w:numId w:val="1"/>
      </w:numPr>
      <w:spacing w:beforeLines="100" w:afterLines="100"/>
      <w:jc w:val="both"/>
      <w:outlineLvl w:val="1"/>
    </w:pPr>
    <w:rPr>
      <w:rFonts w:ascii="黑体" w:hAnsi="Times New Roman" w:eastAsia="黑体" w:cs="Times New Roman"/>
      <w:sz w:val="21"/>
      <w:lang w:val="en-US" w:eastAsia="zh-CN" w:bidi="ar-SA"/>
    </w:rPr>
  </w:style>
  <w:style w:type="paragraph" w:customStyle="1" w:styleId="32">
    <w:name w:val="一级条标题"/>
    <w:next w:val="24"/>
    <w:qFormat/>
    <w:uiPriority w:val="0"/>
    <w:pPr>
      <w:numPr>
        <w:ilvl w:val="1"/>
        <w:numId w:val="1"/>
      </w:numPr>
      <w:spacing w:beforeLines="50" w:afterLines="50"/>
      <w:outlineLvl w:val="2"/>
    </w:pPr>
    <w:rPr>
      <w:rFonts w:ascii="黑体" w:hAnsi="Times New Roman" w:eastAsia="黑体" w:cs="Times New Roman"/>
      <w:sz w:val="21"/>
      <w:szCs w:val="21"/>
      <w:lang w:val="en-US" w:eastAsia="zh-CN" w:bidi="ar-SA"/>
    </w:rPr>
  </w:style>
  <w:style w:type="paragraph" w:customStyle="1" w:styleId="33">
    <w:name w:val="二级条标题"/>
    <w:basedOn w:val="32"/>
    <w:next w:val="24"/>
    <w:autoRedefine/>
    <w:qFormat/>
    <w:uiPriority w:val="0"/>
    <w:pPr>
      <w:numPr>
        <w:ilvl w:val="2"/>
      </w:numPr>
      <w:spacing w:before="50" w:after="50"/>
      <w:outlineLvl w:val="3"/>
    </w:pPr>
  </w:style>
  <w:style w:type="character" w:customStyle="1" w:styleId="34">
    <w:name w:val="标题 1 字符"/>
    <w:basedOn w:val="12"/>
    <w:link w:val="2"/>
    <w:autoRedefine/>
    <w:qFormat/>
    <w:uiPriority w:val="0"/>
    <w:rPr>
      <w:rFonts w:ascii="Arial" w:hAnsi="Arial" w:eastAsia="Arial" w:cs="Arial"/>
      <w:b/>
      <w:bCs/>
      <w:snapToGrid w:val="0"/>
      <w:color w:val="000000"/>
      <w:kern w:val="44"/>
      <w:sz w:val="44"/>
      <w:szCs w:val="44"/>
      <w:lang w:eastAsia="en-US"/>
    </w:rPr>
  </w:style>
  <w:style w:type="paragraph" w:customStyle="1" w:styleId="35">
    <w:name w:val="TOC Heading"/>
    <w:basedOn w:val="2"/>
    <w:next w:val="1"/>
    <w:autoRedefine/>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376092" w:themeColor="accent1" w:themeShade="BF"/>
      <w:kern w:val="0"/>
      <w:sz w:val="32"/>
      <w:szCs w:val="32"/>
      <w:lang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3E6297-13BF-45B3-9EC8-8FAF03A12104}">
  <ds:schemaRefs/>
</ds:datastoreItem>
</file>

<file path=docProps/app.xml><?xml version="1.0" encoding="utf-8"?>
<Properties xmlns="http://schemas.openxmlformats.org/officeDocument/2006/extended-properties" xmlns:vt="http://schemas.openxmlformats.org/officeDocument/2006/docPropsVTypes">
  <Template>Normal.dotm</Template>
  <Pages>11</Pages>
  <Words>7095</Words>
  <Characters>7729</Characters>
  <Lines>80</Lines>
  <Paragraphs>22</Paragraphs>
  <TotalTime>4</TotalTime>
  <ScaleCrop>false</ScaleCrop>
  <LinksUpToDate>false</LinksUpToDate>
  <CharactersWithSpaces>8548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cp:lastModifiedBy>银冬里的盛夏</cp:lastModifiedBy>
  <cp:revision>3</cp:revision>
  <cp:lastPrinted>2023-12-11T03:26:00Z</cp:lastPrinted>
  <dcterms:created xsi:type="dcterms:W3CDTF">2023-11-30T15:36:00Z</dcterms:created>
  <dcterms:modified xsi:type="dcterms:W3CDTF">2024-01-10T00:41:19Z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2023-11-30T21:09:13Z</vt:filetime>
  </property>
  <property fmtid="{D5CDD505-2E9C-101B-9397-08002B2CF9AE}" pid="4" name="KSOProductBuildVer">
    <vt:lpwstr>2052-12.1.0.16120</vt:lpwstr>
  </property>
  <property fmtid="{D5CDD505-2E9C-101B-9397-08002B2CF9AE}" pid="5" name="ICV">
    <vt:lpwstr>E81879AEA0434F40922B04721CD1B8C1_12</vt:lpwstr>
  </property>
</Properties>
</file>