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EBAE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jc w:val="center"/>
        <w:textAlignment w:val="auto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《标准化集体用餐配送企业（热链）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建设规范</w:t>
      </w:r>
      <w:r>
        <w:rPr>
          <w:rFonts w:hint="eastAsia" w:ascii="黑体" w:hAnsi="黑体" w:eastAsia="黑体"/>
          <w:sz w:val="36"/>
          <w:szCs w:val="36"/>
        </w:rPr>
        <w:t>》</w:t>
      </w:r>
    </w:p>
    <w:p w14:paraId="2C0D5BA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jc w:val="center"/>
        <w:textAlignment w:val="auto"/>
        <w:rPr>
          <w:rFonts w:ascii="黑体" w:hAnsi="黑体" w:eastAsia="黑体"/>
          <w:sz w:val="36"/>
          <w:szCs w:val="36"/>
        </w:rPr>
      </w:pPr>
      <w:r>
        <w:rPr>
          <w:rFonts w:ascii="黑体" w:hAnsi="黑体" w:eastAsia="黑体"/>
          <w:sz w:val="36"/>
          <w:szCs w:val="36"/>
        </w:rPr>
        <w:t>团体标准编制说明</w:t>
      </w:r>
    </w:p>
    <w:p w14:paraId="1BBBCEB3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rPr>
          <w:rFonts w:ascii="黑体" w:hAnsi="黑体" w:eastAsia="黑体"/>
          <w:sz w:val="36"/>
          <w:szCs w:val="36"/>
        </w:rPr>
      </w:pPr>
    </w:p>
    <w:p w14:paraId="1AAD844E">
      <w:pPr>
        <w:pStyle w:val="14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2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一、工作简况</w:t>
      </w:r>
    </w:p>
    <w:p w14:paraId="6B844C6C">
      <w:pPr>
        <w:pStyle w:val="15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1、</w:t>
      </w:r>
      <w:r>
        <w:rPr>
          <w:rFonts w:hint="eastAsia" w:ascii="仿宋" w:hAnsi="仿宋" w:eastAsia="仿宋" w:cs="仿宋"/>
          <w:sz w:val="30"/>
          <w:szCs w:val="30"/>
        </w:rPr>
        <w:t>任务来源</w:t>
      </w:r>
    </w:p>
    <w:p w14:paraId="5E2A6FAC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企业的标准化是为了在生产经营、管理范围内获得最佳秩序，对实际的或潜在的问题制定共同的和重复使用的规则活动。标准化是集体用餐配送企业必备的管理思路与手段，可包括布局、场所、设施等的配置的标准化。</w:t>
      </w:r>
    </w:p>
    <w:p w14:paraId="2C4AC1E0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集体用餐配送企业属食品安全高风险业态，标准化应从“头”做起。目前没有明确性的、指导性的，对于集体用餐配送企业的布局、场所、设施等的配置规定。规范性的场所布局及结合设施的合理性配置，指导其依据加工特性进行规范、有效的管理，减少食品安全问题（事故）的发生。</w:t>
      </w:r>
    </w:p>
    <w:p w14:paraId="59119FB1">
      <w:pPr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遵循“统一性、规范性、实用性”的原则，注重标准的可操作性，是提升集体用餐配送企业管理水平和运营能力、有效防范经营风险及食品安全风险和提高产品质量等的重要途径，有助于促进其服务管理水平及供餐服务质量的持续提升。通过标准化建设，所带来的“维持高效运营”、“合理降低成本”、“稳定产品质量”是良好的食品安全保障、严格的产品质量把控、标准的专业化管理经营，都将提升广大消费者的信任度和满意度，从而在市场打下坚实的基础。</w:t>
      </w:r>
    </w:p>
    <w:p w14:paraId="455DE09C">
      <w:pPr>
        <w:pStyle w:val="15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2、</w:t>
      </w:r>
      <w:r>
        <w:rPr>
          <w:rFonts w:hint="eastAsia" w:ascii="仿宋" w:hAnsi="仿宋" w:eastAsia="仿宋" w:cs="仿宋"/>
          <w:sz w:val="30"/>
          <w:szCs w:val="30"/>
        </w:rPr>
        <w:t>主要参加单位</w:t>
      </w:r>
    </w:p>
    <w:p w14:paraId="46A4C800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 w:bidi="ar-SA"/>
        </w:rPr>
        <w:t>上海市浦东新区食品药品安全管理协会、上海优之膳餐饮服务有限公司、上海珍鼎餐饮服务有限公司、上海锦点餐饮管理有限公司。</w:t>
      </w:r>
    </w:p>
    <w:p w14:paraId="1726EA8F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 w:bidi="ar-SA"/>
        </w:rPr>
        <w:t>负责标准制定工作的组织、协调，相关资料的查阅、收集，标准文本及编制说明的起草、撰写，组织现场调研、召开研讨会，征集、整理和归纳相关的意见和建议。</w:t>
      </w:r>
    </w:p>
    <w:p w14:paraId="5C3156AB">
      <w:pPr>
        <w:pStyle w:val="14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2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二、目的和意义</w:t>
      </w:r>
    </w:p>
    <w:p w14:paraId="37E93A47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1、</w:t>
      </w:r>
      <w:r>
        <w:rPr>
          <w:rFonts w:hint="eastAsia" w:ascii="仿宋" w:hAnsi="仿宋" w:eastAsia="仿宋" w:cs="仿宋"/>
          <w:sz w:val="30"/>
          <w:szCs w:val="30"/>
        </w:rPr>
        <w:t>市场需求与行业发展</w:t>
      </w:r>
    </w:p>
    <w:p w14:paraId="1F89B51B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市场规模扩大：随着人们生活节奏的加快，集体用餐配送服务的需求不断增加，市场规模持续扩大。为满足这一市场需求，制定相关团体标准显得尤为重要。</w:t>
      </w:r>
    </w:p>
    <w:p w14:paraId="0BC03DE6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提升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建设规范</w:t>
      </w:r>
      <w:r>
        <w:rPr>
          <w:rFonts w:hint="eastAsia" w:ascii="仿宋" w:hAnsi="仿宋" w:eastAsia="仿宋" w:cs="仿宋"/>
          <w:sz w:val="30"/>
          <w:szCs w:val="30"/>
        </w:rPr>
        <w:t>：团体标准可以指导集体用餐配送企业（热链）进行标准化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的</w:t>
      </w:r>
      <w:r>
        <w:rPr>
          <w:rFonts w:hint="eastAsia" w:ascii="仿宋" w:hAnsi="仿宋" w:eastAsia="仿宋" w:cs="仿宋"/>
          <w:sz w:val="30"/>
          <w:szCs w:val="30"/>
        </w:rPr>
        <w:t>规范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建设</w:t>
      </w:r>
      <w:r>
        <w:rPr>
          <w:rFonts w:hint="eastAsia" w:ascii="仿宋" w:hAnsi="仿宋" w:eastAsia="仿宋" w:cs="仿宋"/>
          <w:sz w:val="30"/>
          <w:szCs w:val="30"/>
        </w:rPr>
        <w:t>，从而提升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生产</w:t>
      </w:r>
      <w:r>
        <w:rPr>
          <w:rFonts w:hint="eastAsia" w:ascii="仿宋" w:hAnsi="仿宋" w:eastAsia="仿宋" w:cs="仿宋"/>
          <w:sz w:val="30"/>
          <w:szCs w:val="30"/>
        </w:rPr>
        <w:t>质量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和能效</w:t>
      </w:r>
      <w:r>
        <w:rPr>
          <w:rFonts w:hint="eastAsia" w:ascii="仿宋" w:hAnsi="仿宋" w:eastAsia="仿宋" w:cs="仿宋"/>
          <w:sz w:val="30"/>
          <w:szCs w:val="30"/>
        </w:rPr>
        <w:t>，满足消费者对食品安全和品质的高要求。</w:t>
      </w:r>
    </w:p>
    <w:p w14:paraId="5CF7422C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2、</w:t>
      </w:r>
      <w:r>
        <w:rPr>
          <w:rFonts w:hint="eastAsia" w:ascii="仿宋" w:hAnsi="仿宋" w:eastAsia="仿宋" w:cs="仿宋"/>
          <w:sz w:val="30"/>
          <w:szCs w:val="30"/>
        </w:rPr>
        <w:t>推动行业创新与发展</w:t>
      </w:r>
    </w:p>
    <w:p w14:paraId="0DDD7C1E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促进技术创新：团体标准可以鼓励企业采用新技术、新工艺和新设备，提高生产效率和产品质量。同时，通过标准的制定和推广，可以加速科技成果的转化和应用。</w:t>
      </w:r>
    </w:p>
    <w:p w14:paraId="5ECDE326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增强市场竞争力：遵守团体标准的企业可以提升自身形象和品牌价值，增强市场竞争力。此外，团体标准还可以作为市场准入门槛，淘汰低质量、低效率的企业，推动整个行业的健康发展。</w:t>
      </w:r>
    </w:p>
    <w:p w14:paraId="4F3D29D7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团体标准将引导行业向更加规范、高效、可持续的方向发展，推动整个行业的健康发展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；</w:t>
      </w:r>
      <w:r>
        <w:rPr>
          <w:rFonts w:hint="eastAsia" w:ascii="仿宋" w:hAnsi="仿宋" w:eastAsia="仿宋" w:cs="仿宋"/>
          <w:sz w:val="30"/>
          <w:szCs w:val="30"/>
        </w:rPr>
        <w:t>将作为技术创新的引导，鼓励企业加大研发投入，推动技术创新和产业升级，提升整个行业的核心竞争力和附加值。</w:t>
      </w:r>
    </w:p>
    <w:p w14:paraId="38B1A53C">
      <w:pPr>
        <w:pStyle w:val="14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2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三、起草过程</w:t>
      </w:r>
    </w:p>
    <w:p w14:paraId="444C55A6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1、立项与筹备：由上海优之膳餐饮服务有限公司申请立项，浦东食品药品安全管理协会牵头，成立标准起草小组，明确标准的制定目的、意义和适用范围。</w:t>
      </w:r>
    </w:p>
    <w:p w14:paraId="5DD157F6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2、调研与收集资料：实地考察了优之膳、珍鼎餐饮服务和锦点餐饮等集体用餐配送企业，同时通过专家咨询等方式，收集关于“集体用餐配送企业（热链）建设”的法律法规、标准等方面的资料和信息。</w:t>
      </w:r>
    </w:p>
    <w:p w14:paraId="303B2AAD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3、起草与征求意见：在充分调研的基础上，起草小组编写了标准草案，通过征求意见，采纳意见，经过多次内部讨论和修改，形成标准文本的送审稿。</w:t>
      </w:r>
    </w:p>
    <w:p w14:paraId="4E6F6BC7">
      <w:pPr>
        <w:pStyle w:val="14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2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四、编制原则</w:t>
      </w:r>
    </w:p>
    <w:p w14:paraId="2DAB9BA6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1、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合规性原则</w:t>
      </w:r>
    </w:p>
    <w:p w14:paraId="0BD2FD0F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</w:rPr>
        <w:t>符合法律法规：标准编写遵守国家现行的法律、法规、规章及相关政策</w:t>
      </w:r>
      <w:r>
        <w:rPr>
          <w:rFonts w:hint="eastAsia" w:ascii="仿宋" w:hAnsi="仿宋" w:eastAsia="仿宋" w:cs="仿宋"/>
          <w:sz w:val="30"/>
          <w:szCs w:val="30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标准的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要求，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不限于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食品安全、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消防安全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等方面的强制性标准，确保标准内容的合法性和合规性。</w:t>
      </w:r>
    </w:p>
    <w:p w14:paraId="6282E4A9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</w:rPr>
        <w:t>遵循标准编写规则：按照国家标准GB/T 1.1等文件给出的标准编写规则进行编写，确保标准的结构、格式、语言等方面规范统一，便于理解和执行。</w:t>
      </w:r>
    </w:p>
    <w:p w14:paraId="2E6BCB2E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2、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科学性原则</w:t>
      </w:r>
    </w:p>
    <w:p w14:paraId="2B7DD9BC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</w:rPr>
        <w:t>基于研究和数据支持：标准充分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研究法律法规和标准的相关设计要求，调研集体用餐配送企业设计建设建筑、建筑设施的相关技术参数，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进行科学论证和数据分析，确保标准内容的科学性和合理性。</w:t>
      </w:r>
    </w:p>
    <w:p w14:paraId="3DC3D90B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</w:rPr>
        <w:t>技术内容先进可行：标准中的技术内容应具有先进性，能够反映行业发展的最新趋势和技术水平，同时应具有可行性，能够被企业实际操作和应用。</w:t>
      </w:r>
    </w:p>
    <w:p w14:paraId="2280B1F5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3、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公开透明原则</w:t>
      </w:r>
    </w:p>
    <w:p w14:paraId="301B8800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</w:rPr>
        <w:t>广泛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参与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：在标准编写过程中，广泛征求政府部门、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相关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企业等相关方的意见和建议，确保标准内容的公正性、公平性和透明性。</w:t>
      </w:r>
    </w:p>
    <w:p w14:paraId="248E3205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</w:rPr>
        <w:t>及时反馈：对收集到的意见和建议进行及时反馈和处理，确保标准的制定过程具有互动性和响应性。</w:t>
      </w:r>
    </w:p>
    <w:p w14:paraId="3C9BE0BE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4、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与现行法律法规和标准相协调原则</w:t>
      </w:r>
    </w:p>
    <w:p w14:paraId="15E4B047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</w:rPr>
        <w:t>符合法律法规：标准的编制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内容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严格遵守国家相关法律法规的规定，确保各项规定和要求合法合规。</w:t>
      </w:r>
    </w:p>
    <w:p w14:paraId="31D80CD4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</w:rPr>
        <w:t>与国家标准相衔接：与现行国家标准、行业标准和地方标准相衔接，确保标准的制定具有一致性和协调性。</w:t>
      </w:r>
    </w:p>
    <w:p w14:paraId="4CDCD901">
      <w:pPr>
        <w:pStyle w:val="14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2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五、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适用范围</w:t>
      </w:r>
    </w:p>
    <w:p w14:paraId="128C5754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  <w:highlight w:val="none"/>
        </w:rPr>
      </w:pPr>
      <w:r>
        <w:rPr>
          <w:rFonts w:hint="eastAsia" w:ascii="仿宋" w:hAnsi="仿宋" w:eastAsia="仿宋" w:cs="仿宋"/>
          <w:sz w:val="30"/>
          <w:szCs w:val="30"/>
          <w:highlight w:val="none"/>
        </w:rPr>
        <w:t>本团体标准适用于从事集体用餐配送（热链）的企业，包括但不限于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供餐于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学校、企事业单位等集体用餐配送单位。</w:t>
      </w:r>
    </w:p>
    <w:p w14:paraId="27BC1A78">
      <w:pPr>
        <w:pStyle w:val="14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2" w:firstLineChars="200"/>
        <w:jc w:val="both"/>
        <w:textAlignment w:val="auto"/>
        <w:outlineLvl w:val="9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六、</w:t>
      </w:r>
      <w:r>
        <w:rPr>
          <w:rFonts w:hint="eastAsia" w:ascii="仿宋" w:hAnsi="仿宋" w:eastAsia="仿宋" w:cs="仿宋"/>
          <w:sz w:val="30"/>
          <w:szCs w:val="30"/>
        </w:rPr>
        <w:t>法律法规标准依据</w:t>
      </w:r>
    </w:p>
    <w:p w14:paraId="5B40CA29"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本团体标准的制定主要依据以下法律法规和标准：</w:t>
      </w:r>
    </w:p>
    <w:p w14:paraId="11FC35B6"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1、《中华人民共和国食品安全法》、《中华人民共和国消防法》：作为食品安全和消防安全领域的基本法律，为标准的制定提供了法律基础。</w:t>
      </w:r>
    </w:p>
    <w:p w14:paraId="45878ECC">
      <w:pPr>
        <w:pStyle w:val="14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2、《餐饮厨房安全管控标准》、《餐饮服务食品安全操作规范》</w:t>
      </w:r>
      <w:r>
        <w:rPr>
          <w:rFonts w:hint="eastAsia" w:ascii="仿宋" w:hAnsi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、《</w:t>
      </w: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餐饮业和集体用餐配送单位卫生规范</w:t>
      </w:r>
      <w:r>
        <w:rPr>
          <w:rFonts w:hint="eastAsia" w:ascii="仿宋" w:hAnsi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》、《上海市学校病媒生物预防控制工作指南》</w:t>
      </w: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：规定了餐饮服务环节食品安全等的相关安全管控、操作的具体要求，为标准的制定提供了参考依据。</w:t>
      </w:r>
    </w:p>
    <w:p w14:paraId="0547F615">
      <w:pPr>
        <w:pStyle w:val="14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3、《食品安全国家标准 食品生产通用卫生规范》（GB 14881）、《食品安全国家标准 餐饮服务通用卫生规范》（GB 31654）、《中央厨房 建设要求》</w:t>
      </w:r>
      <w:r>
        <w:rPr>
          <w:rFonts w:hint="eastAsia" w:ascii="仿宋" w:hAnsi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（</w:t>
      </w: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GB</w:t>
      </w:r>
      <w:r>
        <w:rPr>
          <w:rFonts w:hint="eastAsia" w:ascii="仿宋" w:hAnsi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/</w:t>
      </w: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T</w:t>
      </w:r>
      <w:r>
        <w:rPr>
          <w:rFonts w:hint="eastAsia" w:ascii="仿宋" w:hAnsi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 xml:space="preserve"> </w:t>
      </w: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44142</w:t>
      </w:r>
      <w:r>
        <w:rPr>
          <w:rFonts w:hint="eastAsia" w:ascii="仿宋" w:hAnsi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）、《</w:t>
      </w: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食品工业洁净用房建筑技术规范</w:t>
      </w:r>
      <w:r>
        <w:rPr>
          <w:rFonts w:hint="eastAsia" w:ascii="仿宋" w:hAnsi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》（</w:t>
      </w: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GB 50687</w:t>
      </w:r>
      <w:r>
        <w:rPr>
          <w:rFonts w:hint="eastAsia" w:ascii="仿宋" w:hAnsi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）、</w:t>
      </w: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《臭氧消毒器卫生要求》（GB 28232）、《饮食业油烟排放标准</w:t>
      </w:r>
      <w:r>
        <w:rPr>
          <w:rFonts w:hint="eastAsia" w:ascii="仿宋" w:hAnsi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》（</w:t>
      </w: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GB 18483</w:t>
      </w:r>
      <w:r>
        <w:rPr>
          <w:rFonts w:hint="eastAsia" w:ascii="仿宋" w:hAnsi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）、《</w:t>
      </w: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社会生活环境噪声排放标准</w:t>
      </w:r>
      <w:r>
        <w:rPr>
          <w:rFonts w:hint="eastAsia" w:ascii="仿宋" w:hAnsi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》（</w:t>
      </w: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GB 22337</w:t>
      </w:r>
      <w:r>
        <w:rPr>
          <w:rFonts w:hint="eastAsia" w:ascii="仿宋" w:hAnsi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）、《病媒生物综合管理技术规范 食品生产加工企业》（GB/T 27776）</w:t>
      </w: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highlight w:val="none"/>
          <w:lang w:val="en-US" w:eastAsia="zh-CN" w:bidi="ar-SA"/>
        </w:rPr>
        <w:t>《食品安全地方标准 集体用餐配送膳食》（DB 31/2023）和《食品安全地方标准 集体用餐配送膳食生产配送卫生规范》（DB 31/2024）等，也为标准的制定提供技术依据。</w:t>
      </w:r>
    </w:p>
    <w:p w14:paraId="722FEDE5">
      <w:pPr>
        <w:pStyle w:val="14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2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七、</w:t>
      </w:r>
      <w:r>
        <w:rPr>
          <w:rFonts w:hint="eastAsia" w:ascii="仿宋" w:hAnsi="仿宋" w:cs="仿宋"/>
          <w:sz w:val="30"/>
          <w:szCs w:val="30"/>
          <w:lang w:val="en-US" w:eastAsia="zh-CN"/>
        </w:rPr>
        <w:t>标准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主要内容</w:t>
      </w:r>
    </w:p>
    <w:p w14:paraId="57F2F6FC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此团体标准从实际出发，旨在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规范集体用餐配送企业（热链）标准化建设，进一步明确、具体了同类企业的选址与厂区环境、布局与内部结构等的标准化要求，减少前期的条件缺失等因素导致的食品安全风险；对硬件条件提出更高要求，如有害生物防治、生产用设施设备等，促使企业改善生产环境、优化生产效率、提升食品安全保障能力。</w:t>
      </w:r>
    </w:p>
    <w:p w14:paraId="339E2DED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集体用餐配送企业（热链）建设的具体要求，包括但不限于：</w:t>
      </w:r>
    </w:p>
    <w:p w14:paraId="5E66841F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1、选址与厂区环境：应符合 GB 14881的规定。</w:t>
      </w:r>
    </w:p>
    <w:p w14:paraId="3E787878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2、布局与内部结构：布局包括面积、基础作业区；顶棚、墙壁、门窗、地面等通用内部结构的要求。</w:t>
      </w:r>
    </w:p>
    <w:p w14:paraId="1D3297CD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3、通用设施设备：涉及供水设施、排水设施、清洗设施、</w:t>
      </w:r>
      <w:bookmarkStart w:id="0" w:name="_Hlk160013782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通风排烟设施</w:t>
      </w:r>
      <w:bookmarkEnd w:id="0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、照明设施、加工设备和温控设备的要求。</w:t>
      </w:r>
    </w:p>
    <w:p w14:paraId="43390933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4、</w:t>
      </w:r>
      <w:bookmarkStart w:id="1" w:name="_Toc184395647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食品生产场所</w:t>
      </w:r>
      <w:bookmarkEnd w:id="1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：该部分按区域划分，包括收货区、</w:t>
      </w:r>
      <w:bookmarkStart w:id="2" w:name="_Toc184395649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食品贮存场所</w:t>
      </w:r>
      <w:bookmarkEnd w:id="2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、更衣场所、粗加工制作区、切配区、烹调热加工区、、二次更衣间、专间、成品发货区、餐用具清洗消毒区、餐用具保洁区和检验室等区域的特有内部结构、设施设备、设备配置的要求。</w:t>
      </w:r>
    </w:p>
    <w:p w14:paraId="3213363F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5、废弃物暂存设施：包括废弃物容器的盖子、材质、内壁、放置点位等的要求。</w:t>
      </w:r>
    </w:p>
    <w:p w14:paraId="3FE135BE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6、有害生物防治：对有害生物防治各类设施的具体要求，包括材质、规格型号等。</w:t>
      </w:r>
    </w:p>
    <w:p w14:paraId="4B4D0E72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7、生产过程监控“互联网+明厨亮灶”：规定了安装监控设备的区域及视频采集设备、视频呈现设备的要求等。</w:t>
      </w:r>
    </w:p>
    <w:p w14:paraId="23ED6E76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8、消防设施：以《中华人民共和国消防法》为基础，参考《餐饮厨房安全管控标准》，对灭火器、灭火毯、挡火板、油烟口、油烟管道、厨房自动灭火装置、可燃气体报警器、感温探测器和喷淋设施进行了规定。</w:t>
      </w:r>
    </w:p>
    <w:p w14:paraId="44A3FD0D">
      <w:pPr>
        <w:pStyle w:val="7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600" w:firstLineChars="200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9、节能减排：参考了《北京市餐饮经营单位节能规范》</w:t>
      </w:r>
    </w:p>
    <w:p w14:paraId="5046DE35">
      <w:pPr>
        <w:pStyle w:val="2"/>
        <w:ind w:left="0" w:leftChars="0" w:firstLine="0" w:firstLineChars="0"/>
        <w:rPr>
          <w:rFonts w:hint="eastAsia" w:ascii="宋体" w:hAnsi="宋体" w:eastAsia="宋体" w:cs="宋体"/>
          <w:sz w:val="30"/>
          <w:szCs w:val="30"/>
        </w:rPr>
      </w:pPr>
      <w:bookmarkStart w:id="3" w:name="_GoBack"/>
      <w:bookmarkEnd w:id="3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227FC0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B7FEA4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AB7FEA4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1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pStyle w:val="26"/>
      <w:suff w:val="nothing"/>
      <w:lvlText w:val="%1.%2　"/>
      <w:lvlJc w:val="left"/>
      <w:pPr>
        <w:ind w:left="426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1"/>
        <w:szCs w:val="21"/>
        <w:u w:val="none"/>
        <w:vertAlign w:val="baseline"/>
      </w:rPr>
    </w:lvl>
    <w:lvl w:ilvl="2" w:tentative="0">
      <w:start w:val="1"/>
      <w:numFmt w:val="decimal"/>
      <w:pStyle w:val="25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.%2.%3.%4　"/>
      <w:lvlJc w:val="left"/>
      <w:pPr>
        <w:ind w:left="708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ZlZTg3ODBmYTI4YWVmMGVmZTJmZWYzNjlmNjY4YzcifQ=="/>
  </w:docVars>
  <w:rsids>
    <w:rsidRoot w:val="000A3F0B"/>
    <w:rsid w:val="000149B1"/>
    <w:rsid w:val="000A3F0B"/>
    <w:rsid w:val="001C518C"/>
    <w:rsid w:val="0072605F"/>
    <w:rsid w:val="00DC725D"/>
    <w:rsid w:val="0555214E"/>
    <w:rsid w:val="0D147341"/>
    <w:rsid w:val="0DA6302B"/>
    <w:rsid w:val="17161A1F"/>
    <w:rsid w:val="37906A25"/>
    <w:rsid w:val="3F45644A"/>
    <w:rsid w:val="3F9C5ABD"/>
    <w:rsid w:val="4CCB3D37"/>
    <w:rsid w:val="5AB97888"/>
    <w:rsid w:val="62586DC9"/>
    <w:rsid w:val="629022F5"/>
    <w:rsid w:val="6D7F729F"/>
    <w:rsid w:val="6ED01E45"/>
    <w:rsid w:val="6F9A0143"/>
    <w:rsid w:val="72F46A8B"/>
    <w:rsid w:val="75C7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6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line="600" w:lineRule="exact"/>
      <w:ind w:firstLine="480"/>
    </w:pPr>
    <w:rPr>
      <w:rFonts w:ascii="宋体" w:hAnsi="宋体"/>
      <w:szCs w:val="20"/>
    </w:rPr>
  </w:style>
  <w:style w:type="paragraph" w:styleId="5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link w:val="18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Emphasis"/>
    <w:basedOn w:val="10"/>
    <w:qFormat/>
    <w:uiPriority w:val="20"/>
    <w:rPr>
      <w:i/>
    </w:rPr>
  </w:style>
  <w:style w:type="character" w:customStyle="1" w:styleId="12">
    <w:name w:val="页眉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5"/>
    <w:autoRedefine/>
    <w:qFormat/>
    <w:uiPriority w:val="99"/>
    <w:rPr>
      <w:sz w:val="18"/>
      <w:szCs w:val="18"/>
    </w:rPr>
  </w:style>
  <w:style w:type="paragraph" w:customStyle="1" w:styleId="14">
    <w:name w:val=".一级标题1"/>
    <w:basedOn w:val="4"/>
    <w:link w:val="17"/>
    <w:autoRedefine/>
    <w:qFormat/>
    <w:uiPriority w:val="0"/>
    <w:rPr>
      <w:rFonts w:eastAsia="仿宋"/>
      <w:sz w:val="28"/>
    </w:rPr>
  </w:style>
  <w:style w:type="paragraph" w:customStyle="1" w:styleId="15">
    <w:name w:val="二级标题1"/>
    <w:basedOn w:val="7"/>
    <w:next w:val="1"/>
    <w:link w:val="19"/>
    <w:autoRedefine/>
    <w:qFormat/>
    <w:uiPriority w:val="0"/>
    <w:rPr>
      <w:rFonts w:eastAsia="仿宋"/>
      <w:sz w:val="28"/>
    </w:rPr>
  </w:style>
  <w:style w:type="character" w:customStyle="1" w:styleId="16">
    <w:name w:val="标题 1 字符"/>
    <w:basedOn w:val="10"/>
    <w:link w:val="4"/>
    <w:autoRedefine/>
    <w:qFormat/>
    <w:uiPriority w:val="9"/>
    <w:rPr>
      <w:b/>
      <w:bCs/>
      <w:kern w:val="44"/>
      <w:sz w:val="44"/>
      <w:szCs w:val="44"/>
    </w:rPr>
  </w:style>
  <w:style w:type="character" w:customStyle="1" w:styleId="17">
    <w:name w:val=".一级标题1 字符"/>
    <w:basedOn w:val="16"/>
    <w:link w:val="14"/>
    <w:autoRedefine/>
    <w:qFormat/>
    <w:uiPriority w:val="0"/>
    <w:rPr>
      <w:rFonts w:eastAsia="仿宋"/>
      <w:kern w:val="44"/>
      <w:sz w:val="28"/>
      <w:szCs w:val="44"/>
    </w:rPr>
  </w:style>
  <w:style w:type="character" w:customStyle="1" w:styleId="18">
    <w:name w:val="普通(网站) 字符"/>
    <w:basedOn w:val="10"/>
    <w:link w:val="7"/>
    <w:autoRedefine/>
    <w:semiHidden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19">
    <w:name w:val="二级标题1 字符"/>
    <w:basedOn w:val="18"/>
    <w:link w:val="15"/>
    <w:autoRedefine/>
    <w:qFormat/>
    <w:uiPriority w:val="0"/>
    <w:rPr>
      <w:rFonts w:ascii="宋体" w:hAnsi="宋体" w:eastAsia="仿宋" w:cs="宋体"/>
      <w:kern w:val="0"/>
      <w:sz w:val="28"/>
      <w:szCs w:val="24"/>
    </w:rPr>
  </w:style>
  <w:style w:type="character" w:customStyle="1" w:styleId="20">
    <w:name w:val="font61"/>
    <w:basedOn w:val="10"/>
    <w:autoRedefine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21">
    <w:name w:val="font01"/>
    <w:basedOn w:val="10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2">
    <w:name w:val="font91"/>
    <w:basedOn w:val="10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71"/>
    <w:basedOn w:val="10"/>
    <w:autoRedefine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24">
    <w:name w:val="font81"/>
    <w:basedOn w:val="10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25">
    <w:name w:val="二级条标题"/>
    <w:basedOn w:val="26"/>
    <w:next w:val="27"/>
    <w:qFormat/>
    <w:uiPriority w:val="0"/>
    <w:pPr>
      <w:numPr>
        <w:ilvl w:val="2"/>
      </w:numPr>
      <w:spacing w:before="50" w:after="50"/>
      <w:outlineLvl w:val="3"/>
    </w:pPr>
  </w:style>
  <w:style w:type="paragraph" w:customStyle="1" w:styleId="26">
    <w:name w:val="一级条标题"/>
    <w:next w:val="27"/>
    <w:autoRedefine/>
    <w:qFormat/>
    <w:uiPriority w:val="0"/>
    <w:pPr>
      <w:numPr>
        <w:ilvl w:val="1"/>
        <w:numId w:val="1"/>
      </w:numPr>
      <w:spacing w:beforeLines="50" w:afterLines="50"/>
      <w:outlineLvl w:val="2"/>
    </w:pPr>
    <w:rPr>
      <w:rFonts w:ascii="黑体" w:hAnsi="Times New Roman" w:eastAsia="黑体" w:cs="Times New Roman"/>
      <w:sz w:val="21"/>
      <w:szCs w:val="21"/>
      <w:lang w:val="en-US" w:eastAsia="zh-CN" w:bidi="ar-SA"/>
    </w:rPr>
  </w:style>
  <w:style w:type="paragraph" w:customStyle="1" w:styleId="27">
    <w:name w:val="段"/>
    <w:autoRedefine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3077</Words>
  <Characters>3173</Characters>
  <DocSecurity>0</DocSecurity>
  <Lines>24</Lines>
  <Paragraphs>7</Paragraphs>
  <ScaleCrop>false</ScaleCrop>
  <LinksUpToDate>false</LinksUpToDate>
  <CharactersWithSpaces>3208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2023-06-26T02:29:00Z</dcterms:created>
  <dcterms:modified xsi:type="dcterms:W3CDTF">2026-09-21T07:23:10Z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C0002C0F163A44FBAD3479E16CAF7884_13</vt:lpwstr>
  </property>
  <property fmtid="{D5CDD505-2E9C-101B-9397-08002B2CF9AE}" pid="4" name="KSOTemplateDocerSaveRecord">
    <vt:lpwstr>eyJoZGlkIjoiOGQ1Mjk0OWJhNWVjYWRkMDM3YTNkN2ZmMzc3NjlkMDIiLCJ1c2VySWQiOiIzNTA5Nzc4MzgifQ==</vt:lpwstr>
  </property>
</Properties>
</file>