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E44126">
      <w:pPr>
        <w:pStyle w:val="30"/>
        <w:framePr w:wrap="around" w:hAnchor="page" w:x="1620" w:y="14134"/>
        <w:ind w:left="47"/>
      </w:pPr>
      <w:r>
        <w:rPr>
          <w:rFonts w:hint="eastAsia" w:ascii="黑体"/>
          <w:szCs w:val="22"/>
        </w:rPr>
        <w:t>202</w:t>
      </w:r>
      <w:r>
        <w:rPr>
          <w:rFonts w:hint="eastAsia" w:ascii="黑体"/>
          <w:color w:val="FF0000"/>
          <w:szCs w:val="22"/>
        </w:rPr>
        <w:t>5</w:t>
      </w:r>
      <w:r>
        <w:rPr>
          <w:rFonts w:ascii="黑体"/>
        </w:rPr>
        <w:t>-</w:t>
      </w:r>
      <w:r>
        <w:rPr>
          <w:rFonts w:hint="eastAsia" w:ascii="黑体"/>
          <w:szCs w:val="22"/>
        </w:rPr>
        <w:t>XX</w:t>
      </w:r>
      <w:r>
        <w:rPr>
          <w:rFonts w:ascii="黑体"/>
        </w:rPr>
        <w:t>-</w:t>
      </w:r>
      <w:r>
        <w:rPr>
          <w:rFonts w:hint="eastAsia" w:ascii="黑体"/>
          <w:szCs w:val="22"/>
        </w:rPr>
        <w:t>XX</w:t>
      </w:r>
      <w:r>
        <w:rPr>
          <w:rFonts w:hint="eastAsia"/>
        </w:rPr>
        <w:t>发布</w:t>
      </w:r>
      <w:r>
        <mc:AlternateContent>
          <mc:Choice Requires="wps">
            <w:drawing>
              <wp:anchor distT="0" distB="0" distL="114300" distR="114300" simplePos="0" relativeHeight="251659264" behindDoc="0" locked="1" layoutInCell="1" allowOverlap="1">
                <wp:simplePos x="0" y="0"/>
                <wp:positionH relativeFrom="column">
                  <wp:posOffset>-92075</wp:posOffset>
                </wp:positionH>
                <wp:positionV relativeFrom="page">
                  <wp:posOffset>9251315</wp:posOffset>
                </wp:positionV>
                <wp:extent cx="6120130" cy="0"/>
                <wp:effectExtent l="0" t="0" r="0" b="0"/>
                <wp:wrapNone/>
                <wp:docPr id="1"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id="Line 10" o:spid="_x0000_s1026" o:spt="20" style="position:absolute;left:0pt;margin-left:-7.25pt;margin-top:728.45pt;height:0pt;width:481.9pt;mso-position-vertical-relative:page;z-index:251659264;mso-width-relative:page;mso-height-relative:page;" filled="f" stroked="t" coordsize="21600,21600" o:gfxdata="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HqI1fXZAAAADQEAAA8AAAAAAAAAAQAgAAAAIgAA&#10;AGRycy9kb3ducmV2LnhtbFBLAQIUABQAAAAIAIdO4kCucl85zgEAAK4DAAAOAAAAAAAAAAEAIAAA&#10;ACgBAABkcnMvZTJvRG9jLnhtbFBLBQYAAAAABgAGAFkBAABoBQAAAAA=&#10;">
                <v:fill on="f" focussize="0,0"/>
                <v:stroke color="#000000" joinstyle="round"/>
                <v:imagedata o:title=""/>
                <o:lock v:ext="edit" aspectratio="f"/>
                <w10:anchorlock/>
              </v:line>
            </w:pict>
          </mc:Fallback>
        </mc:AlternateContent>
      </w:r>
    </w:p>
    <w:p w14:paraId="11A42247">
      <w:pPr>
        <w:pStyle w:val="31"/>
        <w:framePr w:wrap="around" w:hAnchor="page" w:x="7910" w:y="14095"/>
        <w:tabs>
          <w:tab w:val="left" w:pos="3297"/>
        </w:tabs>
        <w:ind w:left="47"/>
        <w:jc w:val="left"/>
      </w:pPr>
      <w:r>
        <w:rPr>
          <w:rFonts w:hint="eastAsia" w:ascii="黑体"/>
          <w:szCs w:val="22"/>
        </w:rPr>
        <w:t>202</w:t>
      </w:r>
      <w:r>
        <w:rPr>
          <w:rFonts w:hint="eastAsia" w:ascii="黑体"/>
          <w:color w:val="FF0000"/>
          <w:szCs w:val="22"/>
        </w:rPr>
        <w:t>5</w:t>
      </w:r>
      <w:r>
        <w:rPr>
          <w:rFonts w:ascii="黑体"/>
          <w:szCs w:val="22"/>
        </w:rPr>
        <w:t>-</w:t>
      </w:r>
      <w:r>
        <w:rPr>
          <w:rFonts w:hint="eastAsia" w:ascii="黑体"/>
          <w:szCs w:val="22"/>
        </w:rPr>
        <w:t>XX-XX实施</w:t>
      </w:r>
    </w:p>
    <w:p w14:paraId="60C3BE9B">
      <w:pPr>
        <w:pStyle w:val="29"/>
        <w:framePr w:w="8578" w:h="665" w:hRule="exact" w:wrap="around" w:x="1848" w:y="14840"/>
        <w:ind w:left="124"/>
        <w:jc w:val="both"/>
        <w:rPr>
          <w:szCs w:val="22"/>
        </w:rPr>
      </w:pPr>
      <w:r>
        <w:rPr>
          <w:rFonts w:hint="eastAsia"/>
          <w:szCs w:val="22"/>
        </w:rPr>
        <w:t>上海市浦东新区食品药品安全管理协会  发布</w:t>
      </w:r>
    </w:p>
    <w:p w14:paraId="50741EB8">
      <w:pPr>
        <w:pStyle w:val="29"/>
        <w:framePr w:w="8578" w:h="665" w:hRule="exact" w:wrap="around" w:x="1848" w:y="14840"/>
        <w:ind w:left="124"/>
        <w:jc w:val="both"/>
        <w:rPr>
          <w:szCs w:val="22"/>
        </w:rPr>
      </w:pPr>
    </w:p>
    <w:p w14:paraId="11CB4D97">
      <w:pPr>
        <w:pStyle w:val="29"/>
        <w:framePr w:w="8578" w:h="665" w:hRule="exact" w:wrap="around" w:x="1848" w:y="14840"/>
        <w:jc w:val="both"/>
        <w:rPr>
          <w:szCs w:val="22"/>
        </w:rPr>
      </w:pPr>
    </w:p>
    <w:p w14:paraId="3F6C5E0A">
      <w:pPr>
        <w:pStyle w:val="32"/>
        <w:framePr w:w="9323" w:h="644" w:hRule="exact" w:wrap="around" w:x="1432"/>
        <w:ind w:left="181"/>
        <w:rPr>
          <w:rFonts w:hint="eastAsia"/>
        </w:rPr>
      </w:pPr>
      <w:r>
        <w:rPr>
          <w:rFonts w:hint="eastAsia"/>
          <w:sz w:val="52"/>
        </w:rPr>
        <w:t>团体</w:t>
      </w:r>
      <w:r>
        <w:rPr>
          <w:sz w:val="52"/>
        </w:rPr>
        <w:t>标准</w:t>
      </w:r>
    </w:p>
    <w:p w14:paraId="3B608AB6">
      <w:pPr>
        <w:pStyle w:val="27"/>
        <w:framePr w:w="9155" w:wrap="around" w:x="1629"/>
        <w:ind w:left="47" w:right="105"/>
        <w:rPr>
          <w:rFonts w:hint="eastAsia" w:hAnsi="黑体" w:cs="黑体"/>
        </w:rPr>
      </w:pPr>
      <w:r>
        <w:rPr>
          <w:rFonts w:hint="eastAsia" w:hAnsi="黑体" w:cs="黑体"/>
        </w:rPr>
        <w:t>T/SYAX</w:t>
      </w:r>
      <w:r>
        <w:rPr>
          <w:rFonts w:hAnsi="黑体" w:cs="黑体"/>
        </w:rPr>
        <w:t xml:space="preserve"> </w:t>
      </w:r>
      <w:r>
        <w:rPr>
          <w:rFonts w:hint="eastAsia" w:hAnsi="黑体" w:cs="黑体"/>
        </w:rPr>
        <w:t>000</w:t>
      </w:r>
      <w:r>
        <w:rPr>
          <w:rFonts w:hint="eastAsia" w:hAnsi="黑体" w:cs="黑体"/>
          <w:color w:val="FF0000"/>
        </w:rPr>
        <w:t>5</w:t>
      </w:r>
      <w:r>
        <w:rPr>
          <w:rFonts w:hint="eastAsia" w:hAnsi="黑体" w:cs="黑体"/>
        </w:rPr>
        <w:t>—20</w:t>
      </w:r>
      <w:r>
        <w:rPr>
          <w:rFonts w:hint="eastAsia" w:hAnsi="黑体" w:cs="黑体"/>
          <w:color w:val="FF0000"/>
        </w:rPr>
        <w:t>25</w:t>
      </w:r>
    </w:p>
    <w:tbl>
      <w:tblPr>
        <w:tblStyle w:val="15"/>
        <w:tblW w:w="1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56"/>
        <w:gridCol w:w="9356"/>
      </w:tblGrid>
      <w:tr w14:paraId="0E183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shd w:val="clear" w:color="auto" w:fill="auto"/>
          </w:tcPr>
          <w:p w14:paraId="01B6433C">
            <w:pPr>
              <w:pStyle w:val="28"/>
              <w:framePr w:w="9155" w:wrap="around" w:x="1629"/>
              <w:jc w:val="both"/>
              <w:rPr>
                <w:rFonts w:hint="eastAsia"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column">
                        <wp:posOffset>-153035</wp:posOffset>
                      </wp:positionH>
                      <wp:positionV relativeFrom="paragraph">
                        <wp:posOffset>122555</wp:posOffset>
                      </wp:positionV>
                      <wp:extent cx="6148070" cy="10795"/>
                      <wp:effectExtent l="0" t="4445" r="5080" b="13335"/>
                      <wp:wrapNone/>
                      <wp:docPr id="1855275829" name="直接连接符 1855275829"/>
                      <wp:cNvGraphicFramePr/>
                      <a:graphic xmlns:a="http://schemas.openxmlformats.org/drawingml/2006/main">
                        <a:graphicData uri="http://schemas.microsoft.com/office/word/2010/wordprocessingShape">
                          <wps:wsp>
                            <wps:cNvCnPr/>
                            <wps:spPr>
                              <a:xfrm>
                                <a:off x="0" y="0"/>
                                <a:ext cx="614807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05pt;margin-top:9.65pt;height:0.85pt;width:484.1pt;z-index:251660288;mso-width-relative:page;mso-height-relative:page;" filled="f" stroked="t" coordsize="21600,21600" o:gfxdata="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CaArjXAAAACQEAAA8AAAAAAAAAAQAgAAAAIgAAAGRycy9kb3ducmV2&#10;LnhtbFBLAQIUABQAAAAIAIdO4kC8Qo2T/QEAAOkDAAAOAAAAAAAAAAEAIAAAACYBAABkcnMvZTJv&#10;RG9jLnhtbFBLBQYAAAAABgAGAFkBAACVBQAAAAA=&#10;">
                      <v:fill on="f" focussize="0,0"/>
                      <v:stroke color="#000000 [3200]" joinstyle="round"/>
                      <v:imagedata o:title=""/>
                      <o:lock v:ext="edit" aspectratio="f"/>
                    </v:line>
                  </w:pict>
                </mc:Fallback>
              </mc:AlternateContent>
            </w:r>
          </w:p>
        </w:tc>
        <w:tc>
          <w:tcPr>
            <w:tcW w:w="9356" w:type="dxa"/>
            <w:tcBorders>
              <w:top w:val="nil"/>
              <w:left w:val="nil"/>
              <w:bottom w:val="nil"/>
              <w:right w:val="nil"/>
            </w:tcBorders>
            <w:shd w:val="clear" w:color="auto" w:fill="auto"/>
          </w:tcPr>
          <w:p w14:paraId="483E037A">
            <w:pPr>
              <w:pStyle w:val="28"/>
              <w:framePr w:w="9155" w:wrap="around" w:x="1629"/>
              <w:rPr>
                <w:rFonts w:hint="eastAsia" w:ascii="黑体" w:hAnsi="黑体" w:eastAsia="黑体" w:cs="黑体"/>
              </w:rPr>
            </w:pPr>
          </w:p>
        </w:tc>
      </w:tr>
    </w:tbl>
    <w:p w14:paraId="534457D6">
      <w:pPr>
        <w:pStyle w:val="27"/>
        <w:framePr w:w="9155" w:wrap="around" w:x="1629"/>
        <w:ind w:left="47"/>
        <w:rPr>
          <w:rFonts w:hint="eastAsia" w:hAnsi="黑体"/>
        </w:rPr>
      </w:pPr>
    </w:p>
    <w:p w14:paraId="7FEA8049">
      <w:pPr>
        <w:pStyle w:val="27"/>
        <w:framePr w:w="9155" w:wrap="around" w:x="1629"/>
        <w:ind w:left="47"/>
        <w:rPr>
          <w:rFonts w:hint="eastAsia" w:hAnsi="黑体"/>
        </w:rPr>
      </w:pPr>
    </w:p>
    <w:tbl>
      <w:tblPr>
        <w:tblStyle w:val="16"/>
        <w:tblpPr w:leftFromText="180" w:rightFromText="180" w:vertAnchor="text" w:horzAnchor="margin" w:tblpY="-831"/>
        <w:tblW w:w="93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3"/>
        <w:gridCol w:w="8818"/>
      </w:tblGrid>
      <w:tr w14:paraId="35805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43" w:type="dxa"/>
          </w:tcPr>
          <w:p w14:paraId="49330264">
            <w:pPr>
              <w:pStyle w:val="10"/>
              <w:rPr>
                <w:rFonts w:hint="eastAsia" w:ascii="黑体" w:hAnsi="黑体" w:eastAsia="黑体" w:cs="黑体"/>
                <w:sz w:val="21"/>
                <w:szCs w:val="21"/>
              </w:rPr>
            </w:pPr>
            <w:r>
              <w:rPr>
                <w:rFonts w:hint="eastAsia" w:ascii="黑体" w:hAnsi="黑体" w:eastAsia="黑体" w:cs="黑体"/>
                <w:sz w:val="21"/>
                <w:szCs w:val="21"/>
              </w:rPr>
              <w:t xml:space="preserve">ICS  </w:t>
            </w:r>
          </w:p>
        </w:tc>
        <w:tc>
          <w:tcPr>
            <w:tcW w:w="8818" w:type="dxa"/>
          </w:tcPr>
          <w:p w14:paraId="44EF9051">
            <w:pPr>
              <w:pStyle w:val="10"/>
              <w:tabs>
                <w:tab w:val="left" w:pos="6473"/>
                <w:tab w:val="clear" w:pos="4153"/>
                <w:tab w:val="clear" w:pos="8306"/>
              </w:tabs>
              <w:rPr>
                <w:rFonts w:hint="eastAsia" w:ascii="黑体" w:hAnsi="黑体" w:eastAsia="黑体" w:cs="黑体"/>
                <w:sz w:val="21"/>
                <w:szCs w:val="21"/>
              </w:rPr>
            </w:pPr>
          </w:p>
        </w:tc>
      </w:tr>
      <w:tr w14:paraId="7B0BF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9" w:hRule="atLeast"/>
        </w:trPr>
        <w:tc>
          <w:tcPr>
            <w:tcW w:w="543" w:type="dxa"/>
          </w:tcPr>
          <w:p w14:paraId="16FE516B">
            <w:pPr>
              <w:pStyle w:val="10"/>
              <w:rPr>
                <w:rFonts w:hint="eastAsia" w:ascii="黑体" w:hAnsi="黑体" w:eastAsia="黑体" w:cs="黑体"/>
                <w:sz w:val="21"/>
                <w:szCs w:val="21"/>
              </w:rPr>
            </w:pPr>
            <w:r>
              <w:rPr>
                <w:rFonts w:hint="eastAsia" w:ascii="黑体" w:hAnsi="黑体" w:eastAsia="黑体" w:cs="黑体"/>
                <w:sz w:val="21"/>
                <w:szCs w:val="21"/>
              </w:rPr>
              <w:t>CCS</w:t>
            </w:r>
          </w:p>
        </w:tc>
        <w:tc>
          <w:tcPr>
            <w:tcW w:w="8818" w:type="dxa"/>
          </w:tcPr>
          <w:p w14:paraId="358644D9">
            <w:pPr>
              <w:pStyle w:val="10"/>
              <w:rPr>
                <w:rFonts w:hint="eastAsia" w:ascii="黑体" w:hAnsi="黑体" w:eastAsia="黑体" w:cs="黑体"/>
                <w:sz w:val="21"/>
                <w:szCs w:val="21"/>
              </w:rPr>
            </w:pPr>
          </w:p>
        </w:tc>
      </w:tr>
    </w:tbl>
    <w:p w14:paraId="4EDCFAE6">
      <w:pPr>
        <w:pStyle w:val="5"/>
        <w:rPr>
          <w:rFonts w:hint="eastAsia"/>
        </w:rPr>
      </w:pPr>
    </w:p>
    <w:p w14:paraId="0E92396D">
      <w:pPr>
        <w:pStyle w:val="5"/>
        <w:rPr>
          <w:rFonts w:hint="eastAsia"/>
        </w:rPr>
      </w:pPr>
    </w:p>
    <w:p w14:paraId="1AB1C558">
      <w:pPr>
        <w:pStyle w:val="5"/>
        <w:rPr>
          <w:rFonts w:hint="eastAsia"/>
        </w:rPr>
      </w:pPr>
    </w:p>
    <w:p w14:paraId="30EC8408">
      <w:pPr>
        <w:pStyle w:val="5"/>
        <w:rPr>
          <w:rFonts w:hint="eastAsia"/>
        </w:rPr>
      </w:pPr>
      <w:r>
        <w:tab/>
      </w:r>
    </w:p>
    <w:p w14:paraId="7C91F02F">
      <w:pPr>
        <w:pStyle w:val="5"/>
        <w:rPr>
          <w:rFonts w:hint="eastAsia"/>
        </w:rPr>
      </w:pPr>
    </w:p>
    <w:p w14:paraId="05B82DA5">
      <w:pPr>
        <w:pStyle w:val="5"/>
        <w:rPr>
          <w:rFonts w:hint="eastAsia"/>
        </w:rPr>
      </w:pPr>
    </w:p>
    <w:p w14:paraId="05BBBC15">
      <w:pPr>
        <w:pStyle w:val="5"/>
        <w:rPr>
          <w:rFonts w:hint="eastAsia"/>
        </w:rPr>
      </w:pPr>
    </w:p>
    <w:p w14:paraId="0E2B1A65">
      <w:pPr>
        <w:tabs>
          <w:tab w:val="left" w:pos="1134"/>
        </w:tabs>
        <w:spacing w:before="270"/>
        <w:ind w:left="2" w:right="2" w:hanging="2"/>
        <w:jc w:val="center"/>
        <w:rPr>
          <w:rFonts w:hint="eastAsia" w:ascii="黑体" w:hAnsi="黑体" w:eastAsia="黑体" w:cs="黑体"/>
          <w:sz w:val="52"/>
          <w:szCs w:val="52"/>
          <w:shd w:val="clear" w:color="auto" w:fill="FFFFFF"/>
        </w:rPr>
      </w:pPr>
      <w:r>
        <w:rPr>
          <w:rFonts w:hint="eastAsia" w:ascii="黑体" w:hAnsi="黑体" w:eastAsia="黑体" w:cs="黑体"/>
          <w:sz w:val="52"/>
          <w:szCs w:val="52"/>
          <w:shd w:val="clear" w:color="auto" w:fill="FFFFFF"/>
        </w:rPr>
        <w:t>浦东新区中小学食堂“六T”实务现场管理标准建设规范</w:t>
      </w:r>
    </w:p>
    <w:p w14:paraId="26A040FA">
      <w:pPr>
        <w:tabs>
          <w:tab w:val="left" w:pos="1134"/>
        </w:tabs>
        <w:spacing w:before="270"/>
        <w:ind w:left="210" w:right="709"/>
        <w:jc w:val="center"/>
        <w:rPr>
          <w:rFonts w:hint="eastAsia" w:ascii="黑体" w:hAnsi="黑体" w:eastAsia="黑体" w:cs="黑体"/>
          <w:sz w:val="28"/>
          <w:szCs w:val="28"/>
        </w:rPr>
      </w:pPr>
      <w:r>
        <w:rPr>
          <w:rFonts w:hint="eastAsia" w:ascii="黑体" w:hAnsi="黑体" w:eastAsia="黑体" w:cs="黑体"/>
          <w:sz w:val="28"/>
          <w:szCs w:val="28"/>
          <w:shd w:val="clear" w:color="auto" w:fill="FFFFFF"/>
        </w:rPr>
        <w:t>Construction Specification for "Six T" Practical Site Management Standards for Primary and Secondary School Canteens in Pudong New Area</w:t>
      </w:r>
    </w:p>
    <w:p w14:paraId="6CE977B5">
      <w:pPr>
        <w:pStyle w:val="5"/>
        <w:rPr>
          <w:rFonts w:hint="eastAsia"/>
        </w:rPr>
      </w:pPr>
    </w:p>
    <w:p w14:paraId="53A24022">
      <w:pPr>
        <w:tabs>
          <w:tab w:val="left" w:pos="1134"/>
        </w:tabs>
        <w:spacing w:before="214" w:line="360" w:lineRule="auto"/>
        <w:ind w:left="70" w:right="92"/>
        <w:jc w:val="center"/>
        <w:rPr>
          <w:rFonts w:hint="eastAsia" w:asciiTheme="majorEastAsia" w:hAnsiTheme="majorEastAsia" w:eastAsiaTheme="majorEastAsia"/>
          <w:spacing w:val="-5"/>
          <w:sz w:val="32"/>
          <w:szCs w:val="32"/>
        </w:rPr>
      </w:pPr>
      <w:r>
        <w:rPr>
          <w:rFonts w:hint="eastAsia" w:asciiTheme="majorEastAsia" w:hAnsiTheme="majorEastAsia" w:eastAsiaTheme="majorEastAsia"/>
          <w:spacing w:val="-5"/>
          <w:sz w:val="32"/>
          <w:szCs w:val="32"/>
        </w:rPr>
        <w:t>（征求意见稿）</w:t>
      </w:r>
      <w:bookmarkStart w:id="38" w:name="_GoBack"/>
      <w:bookmarkEnd w:id="38"/>
    </w:p>
    <w:p w14:paraId="1283290D">
      <w:pPr>
        <w:tabs>
          <w:tab w:val="left" w:pos="1134"/>
        </w:tabs>
        <w:spacing w:before="214" w:line="360" w:lineRule="auto"/>
        <w:ind w:left="70" w:right="92"/>
        <w:jc w:val="center"/>
        <w:rPr>
          <w:rFonts w:hint="eastAsia" w:asciiTheme="majorEastAsia" w:hAnsiTheme="majorEastAsia" w:eastAsiaTheme="majorEastAsia"/>
          <w:spacing w:val="-5"/>
          <w:sz w:val="32"/>
          <w:szCs w:val="32"/>
        </w:rPr>
      </w:pPr>
    </w:p>
    <w:p w14:paraId="4CCAA340">
      <w:pPr>
        <w:tabs>
          <w:tab w:val="left" w:pos="1134"/>
        </w:tabs>
        <w:spacing w:before="214" w:line="360" w:lineRule="auto"/>
        <w:ind w:left="70" w:right="92"/>
        <w:jc w:val="center"/>
        <w:rPr>
          <w:rFonts w:hint="eastAsia" w:asciiTheme="majorEastAsia" w:hAnsiTheme="majorEastAsia" w:eastAsiaTheme="majorEastAsia"/>
          <w:spacing w:val="-5"/>
          <w:sz w:val="32"/>
          <w:szCs w:val="32"/>
        </w:rPr>
      </w:pPr>
    </w:p>
    <w:p w14:paraId="14E5ABB0">
      <w:pPr>
        <w:tabs>
          <w:tab w:val="left" w:pos="1134"/>
        </w:tabs>
        <w:spacing w:before="214" w:line="360" w:lineRule="auto"/>
        <w:ind w:left="70" w:right="92"/>
        <w:jc w:val="center"/>
        <w:rPr>
          <w:rFonts w:hint="eastAsia" w:asciiTheme="majorEastAsia" w:hAnsiTheme="majorEastAsia" w:eastAsiaTheme="majorEastAsia"/>
          <w:spacing w:val="-5"/>
          <w:sz w:val="32"/>
          <w:szCs w:val="32"/>
        </w:rPr>
      </w:pPr>
    </w:p>
    <w:p w14:paraId="49F845D2">
      <w:pPr>
        <w:widowControl/>
        <w:autoSpaceDE/>
        <w:autoSpaceDN/>
        <w:ind w:left="70"/>
        <w:rPr>
          <w:rFonts w:hint="eastAsia" w:asciiTheme="majorEastAsia" w:hAnsiTheme="majorEastAsia" w:eastAsiaTheme="majorEastAsia"/>
          <w:spacing w:val="-5"/>
          <w:sz w:val="32"/>
          <w:szCs w:val="32"/>
        </w:rPr>
        <w:sectPr>
          <w:headerReference r:id="rId5" w:type="first"/>
          <w:footerReference r:id="rId8" w:type="first"/>
          <w:headerReference r:id="rId3" w:type="default"/>
          <w:footerReference r:id="rId6" w:type="default"/>
          <w:headerReference r:id="rId4" w:type="even"/>
          <w:footerReference r:id="rId7" w:type="even"/>
          <w:pgSz w:w="11910" w:h="16840"/>
          <w:pgMar w:top="567" w:right="1134" w:bottom="1134" w:left="1418" w:header="1429" w:footer="851" w:gutter="0"/>
          <w:pgNumType w:fmt="upperRoman" w:start="1"/>
          <w:cols w:space="720" w:num="1"/>
          <w:titlePg/>
          <w:docGrid w:linePitch="299" w:charSpace="0"/>
        </w:sectPr>
      </w:pPr>
    </w:p>
    <w:p w14:paraId="549B5CAF">
      <w:pPr>
        <w:widowControl/>
        <w:autoSpaceDE/>
        <w:autoSpaceDN/>
        <w:ind w:left="70"/>
        <w:rPr>
          <w:rFonts w:hint="eastAsia" w:asciiTheme="majorEastAsia" w:hAnsiTheme="majorEastAsia" w:eastAsiaTheme="majorEastAsia"/>
          <w:spacing w:val="-5"/>
          <w:sz w:val="32"/>
          <w:szCs w:val="32"/>
        </w:rPr>
        <w:sectPr>
          <w:pgSz w:w="11910" w:h="16840"/>
          <w:pgMar w:top="567" w:right="1134" w:bottom="1134" w:left="1418" w:header="1429" w:footer="851" w:gutter="0"/>
          <w:pgNumType w:fmt="upperRoman" w:start="1"/>
          <w:cols w:space="720" w:num="1"/>
          <w:titlePg/>
          <w:docGrid w:linePitch="299" w:charSpace="0"/>
        </w:sectPr>
      </w:pPr>
    </w:p>
    <w:sdt>
      <w:sdtPr>
        <w:rPr>
          <w:rFonts w:hint="eastAsia" w:ascii="黑体" w:hAnsi="Times New Roman" w:eastAsia="黑体" w:cs="Times New Roman"/>
          <w:color w:val="auto"/>
          <w:sz w:val="22"/>
          <w:szCs w:val="22"/>
          <w:lang w:val="zh-CN"/>
        </w:rPr>
        <w:id w:val="370046193"/>
        <w:docPartObj>
          <w:docPartGallery w:val="Table of Contents"/>
          <w:docPartUnique/>
        </w:docPartObj>
      </w:sdtPr>
      <w:sdtEndPr>
        <w:rPr>
          <w:rStyle w:val="22"/>
          <w:rFonts w:hint="eastAsia" w:cs="Times New Roman" w:asciiTheme="minorHAnsi" w:hAnsiTheme="minorHAnsi" w:eastAsiaTheme="minorEastAsia"/>
          <w:color w:val="auto"/>
          <w:sz w:val="22"/>
          <w:szCs w:val="22"/>
          <w:u w:val="single"/>
          <w:lang w:val="en-US"/>
        </w:rPr>
      </w:sdtEndPr>
      <w:sdtContent>
        <w:p w14:paraId="673F85C8">
          <w:pPr>
            <w:pStyle w:val="34"/>
            <w:spacing w:before="120" w:after="120"/>
            <w:ind w:left="74"/>
            <w:jc w:val="center"/>
            <w:rPr>
              <w:rFonts w:ascii="黑体" w:hAnsi="Times New Roman" w:eastAsia="黑体" w:cs="Times New Roman"/>
              <w:color w:val="auto"/>
            </w:rPr>
          </w:pPr>
          <w:r>
            <w:rPr>
              <w:rFonts w:hint="eastAsia" w:ascii="黑体" w:hAnsi="Times New Roman" w:eastAsia="黑体" w:cs="Times New Roman"/>
              <w:color w:val="auto"/>
            </w:rPr>
            <w:t>目   次</w:t>
          </w:r>
        </w:p>
        <w:p w14:paraId="679F5B90">
          <w:pPr>
            <w:pStyle w:val="11"/>
            <w:rPr>
              <w:rFonts w:cstheme="minorBidi"/>
              <w:kern w:val="2"/>
              <w:szCs w:val="24"/>
              <w14:ligatures w14:val="standardContextual"/>
            </w:rPr>
          </w:pPr>
          <w:r>
            <w:rPr>
              <w:rStyle w:val="22"/>
              <w:rFonts w:hint="eastAsia" w:ascii="宋体" w:hAnsi="宋体" w:eastAsia="宋体" w:cs="宋体"/>
              <w:color w:val="auto"/>
              <w:sz w:val="21"/>
              <w:szCs w:val="21"/>
            </w:rPr>
            <w:fldChar w:fldCharType="begin"/>
          </w:r>
          <w:r>
            <w:rPr>
              <w:rStyle w:val="22"/>
              <w:rFonts w:hint="eastAsia" w:ascii="宋体" w:hAnsi="宋体" w:eastAsia="宋体" w:cs="宋体"/>
              <w:color w:val="auto"/>
              <w:sz w:val="21"/>
              <w:szCs w:val="21"/>
            </w:rPr>
            <w:instrText xml:space="preserve"> TOC \o "1-3" \h \z \u </w:instrText>
          </w:r>
          <w:r>
            <w:rPr>
              <w:rStyle w:val="22"/>
              <w:rFonts w:hint="eastAsia" w:ascii="宋体" w:hAnsi="宋体" w:eastAsia="宋体" w:cs="宋体"/>
              <w:color w:val="auto"/>
              <w:sz w:val="21"/>
              <w:szCs w:val="21"/>
            </w:rPr>
            <w:fldChar w:fldCharType="separate"/>
          </w:r>
          <w:r>
            <w:fldChar w:fldCharType="begin"/>
          </w:r>
          <w:r>
            <w:instrText xml:space="preserve"> HYPERLINK \l "_Toc198641754" </w:instrText>
          </w:r>
          <w:r>
            <w:fldChar w:fldCharType="separate"/>
          </w:r>
          <w:r>
            <w:rPr>
              <w:rStyle w:val="22"/>
              <w:rFonts w:hint="eastAsia"/>
            </w:rPr>
            <w:t>前  言</w:t>
          </w:r>
          <w:r>
            <w:rPr>
              <w:rFonts w:hint="eastAsia"/>
            </w:rPr>
            <w:tab/>
          </w:r>
          <w:r>
            <w:rPr>
              <w:rFonts w:hint="eastAsia"/>
            </w:rPr>
            <w:fldChar w:fldCharType="begin"/>
          </w:r>
          <w:r>
            <w:rPr>
              <w:rFonts w:hint="eastAsia"/>
            </w:rPr>
            <w:instrText xml:space="preserve"> </w:instrText>
          </w:r>
          <w:r>
            <w:instrText xml:space="preserve">PAGEREF _Toc198641754 \h</w:instrText>
          </w:r>
          <w:r>
            <w:rPr>
              <w:rFonts w:hint="eastAsia"/>
            </w:rPr>
            <w:instrText xml:space="preserve"> </w:instrText>
          </w:r>
          <w:r>
            <w:rPr>
              <w:rFonts w:hint="eastAsia"/>
            </w:rPr>
            <w:fldChar w:fldCharType="separate"/>
          </w:r>
          <w:r>
            <w:t>I</w:t>
          </w:r>
          <w:r>
            <w:rPr>
              <w:rFonts w:hint="eastAsia"/>
            </w:rPr>
            <w:fldChar w:fldCharType="end"/>
          </w:r>
          <w:r>
            <w:rPr>
              <w:rFonts w:hint="eastAsia"/>
            </w:rPr>
            <w:fldChar w:fldCharType="end"/>
          </w:r>
        </w:p>
        <w:p w14:paraId="678883BE">
          <w:pPr>
            <w:pStyle w:val="11"/>
            <w:rPr>
              <w:rFonts w:cstheme="minorBidi"/>
              <w:kern w:val="2"/>
              <w:szCs w:val="24"/>
              <w14:ligatures w14:val="standardContextual"/>
            </w:rPr>
          </w:pPr>
          <w:r>
            <w:fldChar w:fldCharType="begin"/>
          </w:r>
          <w:r>
            <w:instrText xml:space="preserve"> HYPERLINK \l "_Toc198641755" </w:instrText>
          </w:r>
          <w:r>
            <w:fldChar w:fldCharType="separate"/>
          </w:r>
          <w:r>
            <w:rPr>
              <w:rStyle w:val="22"/>
              <w:rFonts w:hint="eastAsia"/>
            </w:rPr>
            <w:t>1 范围</w:t>
          </w:r>
          <w:r>
            <w:rPr>
              <w:rFonts w:hint="eastAsia"/>
            </w:rPr>
            <w:tab/>
          </w:r>
          <w:r>
            <w:rPr>
              <w:rFonts w:hint="eastAsia"/>
            </w:rPr>
            <w:fldChar w:fldCharType="begin"/>
          </w:r>
          <w:r>
            <w:rPr>
              <w:rFonts w:hint="eastAsia"/>
            </w:rPr>
            <w:instrText xml:space="preserve"> </w:instrText>
          </w:r>
          <w:r>
            <w:instrText xml:space="preserve">PAGEREF _Toc198641755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B330775">
          <w:pPr>
            <w:pStyle w:val="11"/>
            <w:rPr>
              <w:rFonts w:cstheme="minorBidi"/>
              <w:kern w:val="2"/>
              <w:szCs w:val="24"/>
              <w14:ligatures w14:val="standardContextual"/>
            </w:rPr>
          </w:pPr>
          <w:r>
            <w:fldChar w:fldCharType="begin"/>
          </w:r>
          <w:r>
            <w:instrText xml:space="preserve"> HYPERLINK \l "_Toc198641756" </w:instrText>
          </w:r>
          <w:r>
            <w:fldChar w:fldCharType="separate"/>
          </w:r>
          <w:r>
            <w:rPr>
              <w:rStyle w:val="22"/>
              <w:rFonts w:hint="eastAsia"/>
            </w:rPr>
            <w:t>2 规范性引用文件</w:t>
          </w:r>
          <w:r>
            <w:rPr>
              <w:rFonts w:hint="eastAsia"/>
            </w:rPr>
            <w:tab/>
          </w:r>
          <w:r>
            <w:rPr>
              <w:rFonts w:hint="eastAsia"/>
            </w:rPr>
            <w:fldChar w:fldCharType="begin"/>
          </w:r>
          <w:r>
            <w:rPr>
              <w:rFonts w:hint="eastAsia"/>
            </w:rPr>
            <w:instrText xml:space="preserve"> </w:instrText>
          </w:r>
          <w:r>
            <w:instrText xml:space="preserve">PAGEREF _Toc198641756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FB201DF">
          <w:pPr>
            <w:pStyle w:val="11"/>
            <w:rPr>
              <w:rFonts w:cstheme="minorBidi"/>
              <w:kern w:val="2"/>
              <w:szCs w:val="24"/>
              <w14:ligatures w14:val="standardContextual"/>
            </w:rPr>
          </w:pPr>
          <w:r>
            <w:fldChar w:fldCharType="begin"/>
          </w:r>
          <w:r>
            <w:instrText xml:space="preserve"> HYPERLINK \l "_Toc198641757" </w:instrText>
          </w:r>
          <w:r>
            <w:fldChar w:fldCharType="separate"/>
          </w:r>
          <w:r>
            <w:rPr>
              <w:rStyle w:val="22"/>
              <w:rFonts w:hint="eastAsia"/>
            </w:rPr>
            <w:t>3 术语和定义</w:t>
          </w:r>
          <w:r>
            <w:rPr>
              <w:rFonts w:hint="eastAsia"/>
            </w:rPr>
            <w:tab/>
          </w:r>
          <w:r>
            <w:rPr>
              <w:rFonts w:hint="eastAsia"/>
            </w:rPr>
            <w:fldChar w:fldCharType="begin"/>
          </w:r>
          <w:r>
            <w:rPr>
              <w:rFonts w:hint="eastAsia"/>
            </w:rPr>
            <w:instrText xml:space="preserve"> </w:instrText>
          </w:r>
          <w:r>
            <w:instrText xml:space="preserve">PAGEREF _Toc198641757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AFEB748">
          <w:pPr>
            <w:pStyle w:val="11"/>
            <w:rPr>
              <w:rFonts w:cstheme="minorBidi"/>
              <w:kern w:val="2"/>
              <w:szCs w:val="24"/>
              <w14:ligatures w14:val="standardContextual"/>
            </w:rPr>
          </w:pPr>
          <w:r>
            <w:fldChar w:fldCharType="begin"/>
          </w:r>
          <w:r>
            <w:instrText xml:space="preserve"> HYPERLINK \l "_Toc198641758" </w:instrText>
          </w:r>
          <w:r>
            <w:fldChar w:fldCharType="separate"/>
          </w:r>
          <w:r>
            <w:rPr>
              <w:rStyle w:val="22"/>
              <w:rFonts w:hint="eastAsia"/>
            </w:rPr>
            <w:t>4 基本要求</w:t>
          </w:r>
          <w:r>
            <w:rPr>
              <w:rFonts w:hint="eastAsia"/>
            </w:rPr>
            <w:tab/>
          </w:r>
          <w:r>
            <w:rPr>
              <w:rFonts w:hint="eastAsia"/>
            </w:rPr>
            <w:fldChar w:fldCharType="begin"/>
          </w:r>
          <w:r>
            <w:rPr>
              <w:rFonts w:hint="eastAsia"/>
            </w:rPr>
            <w:instrText xml:space="preserve"> </w:instrText>
          </w:r>
          <w:r>
            <w:instrText xml:space="preserve">PAGEREF _Toc198641758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8CA14F5">
          <w:pPr>
            <w:pStyle w:val="12"/>
            <w:tabs>
              <w:tab w:val="right" w:leader="dot" w:pos="9348"/>
            </w:tabs>
            <w:rPr>
              <w:rFonts w:cstheme="minorBidi"/>
              <w:kern w:val="2"/>
              <w:szCs w:val="24"/>
              <w14:ligatures w14:val="standardContextual"/>
            </w:rPr>
          </w:pPr>
          <w:r>
            <w:fldChar w:fldCharType="begin"/>
          </w:r>
          <w:r>
            <w:instrText xml:space="preserve"> HYPERLINK \l "_Toc198641759" </w:instrText>
          </w:r>
          <w:r>
            <w:fldChar w:fldCharType="separate"/>
          </w:r>
          <w:r>
            <w:rPr>
              <w:rStyle w:val="22"/>
              <w:rFonts w:hint="eastAsia" w:cs="黑体"/>
            </w:rPr>
            <w:t>4.1</w:t>
          </w:r>
          <w:r>
            <w:rPr>
              <w:rFonts w:hint="eastAsia" w:cstheme="minorBidi"/>
              <w:kern w:val="2"/>
              <w:szCs w:val="24"/>
              <w14:ligatures w14:val="standardContextual"/>
            </w:rPr>
            <w:t xml:space="preserve"> </w:t>
          </w:r>
          <w:r>
            <w:rPr>
              <w:rStyle w:val="22"/>
              <w:rFonts w:hint="eastAsia"/>
            </w:rPr>
            <w:t>组织要求</w:t>
          </w:r>
          <w:r>
            <w:rPr>
              <w:rFonts w:hint="eastAsia"/>
            </w:rPr>
            <w:tab/>
          </w:r>
          <w:r>
            <w:rPr>
              <w:rFonts w:hint="eastAsia"/>
            </w:rPr>
            <w:fldChar w:fldCharType="begin"/>
          </w:r>
          <w:r>
            <w:rPr>
              <w:rFonts w:hint="eastAsia"/>
            </w:rPr>
            <w:instrText xml:space="preserve"> </w:instrText>
          </w:r>
          <w:r>
            <w:instrText xml:space="preserve">PAGEREF _Toc198641759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B92BFA4">
          <w:pPr>
            <w:pStyle w:val="12"/>
            <w:tabs>
              <w:tab w:val="right" w:leader="dot" w:pos="9348"/>
            </w:tabs>
            <w:rPr>
              <w:rFonts w:cstheme="minorBidi"/>
              <w:kern w:val="2"/>
              <w:szCs w:val="24"/>
              <w14:ligatures w14:val="standardContextual"/>
            </w:rPr>
          </w:pPr>
          <w:r>
            <w:fldChar w:fldCharType="begin"/>
          </w:r>
          <w:r>
            <w:instrText xml:space="preserve"> HYPERLINK \l "_Toc198641760" </w:instrText>
          </w:r>
          <w:r>
            <w:fldChar w:fldCharType="separate"/>
          </w:r>
          <w:r>
            <w:rPr>
              <w:rStyle w:val="22"/>
              <w:rFonts w:hint="eastAsia" w:cs="黑体"/>
            </w:rPr>
            <w:t>4.2</w:t>
          </w:r>
          <w:r>
            <w:rPr>
              <w:rFonts w:hint="eastAsia" w:cstheme="minorBidi"/>
              <w:kern w:val="2"/>
              <w:szCs w:val="24"/>
              <w14:ligatures w14:val="standardContextual"/>
            </w:rPr>
            <w:t xml:space="preserve"> </w:t>
          </w:r>
          <w:r>
            <w:rPr>
              <w:rStyle w:val="22"/>
              <w:rFonts w:hint="eastAsia"/>
            </w:rPr>
            <w:t>人员要求</w:t>
          </w:r>
          <w:r>
            <w:rPr>
              <w:rFonts w:hint="eastAsia"/>
            </w:rPr>
            <w:tab/>
          </w:r>
          <w:r>
            <w:rPr>
              <w:rFonts w:hint="eastAsia"/>
            </w:rPr>
            <w:fldChar w:fldCharType="begin"/>
          </w:r>
          <w:r>
            <w:rPr>
              <w:rFonts w:hint="eastAsia"/>
            </w:rPr>
            <w:instrText xml:space="preserve"> </w:instrText>
          </w:r>
          <w:r>
            <w:instrText xml:space="preserve">PAGEREF _Toc198641760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7CEB8BE">
          <w:pPr>
            <w:pStyle w:val="12"/>
            <w:tabs>
              <w:tab w:val="right" w:leader="dot" w:pos="9348"/>
            </w:tabs>
            <w:rPr>
              <w:rFonts w:cstheme="minorBidi"/>
              <w:kern w:val="2"/>
              <w:szCs w:val="24"/>
              <w14:ligatures w14:val="standardContextual"/>
            </w:rPr>
          </w:pPr>
          <w:r>
            <w:fldChar w:fldCharType="begin"/>
          </w:r>
          <w:r>
            <w:instrText xml:space="preserve"> HYPERLINK \l "_Toc198641761" </w:instrText>
          </w:r>
          <w:r>
            <w:fldChar w:fldCharType="separate"/>
          </w:r>
          <w:r>
            <w:rPr>
              <w:rStyle w:val="22"/>
              <w:rFonts w:hint="eastAsia" w:cs="黑体"/>
            </w:rPr>
            <w:t>4.3</w:t>
          </w:r>
          <w:r>
            <w:rPr>
              <w:rFonts w:hint="eastAsia" w:cstheme="minorBidi"/>
              <w:kern w:val="2"/>
              <w:szCs w:val="24"/>
              <w14:ligatures w14:val="standardContextual"/>
            </w:rPr>
            <w:t xml:space="preserve"> </w:t>
          </w:r>
          <w:r>
            <w:rPr>
              <w:rStyle w:val="22"/>
              <w:rFonts w:hint="eastAsia"/>
            </w:rPr>
            <w:t>制度要求</w:t>
          </w:r>
          <w:r>
            <w:rPr>
              <w:rFonts w:hint="eastAsia"/>
            </w:rPr>
            <w:tab/>
          </w:r>
          <w:r>
            <w:rPr>
              <w:rFonts w:hint="eastAsia"/>
            </w:rPr>
            <w:fldChar w:fldCharType="begin"/>
          </w:r>
          <w:r>
            <w:rPr>
              <w:rFonts w:hint="eastAsia"/>
            </w:rPr>
            <w:instrText xml:space="preserve"> </w:instrText>
          </w:r>
          <w:r>
            <w:instrText xml:space="preserve">PAGEREF _Toc198641761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092136A">
          <w:pPr>
            <w:pStyle w:val="12"/>
            <w:tabs>
              <w:tab w:val="right" w:leader="dot" w:pos="9348"/>
            </w:tabs>
            <w:rPr>
              <w:rFonts w:cstheme="minorBidi"/>
              <w:kern w:val="2"/>
              <w:szCs w:val="24"/>
              <w14:ligatures w14:val="standardContextual"/>
            </w:rPr>
          </w:pPr>
          <w:r>
            <w:fldChar w:fldCharType="begin"/>
          </w:r>
          <w:r>
            <w:instrText xml:space="preserve"> HYPERLINK \l "_Toc198641762" </w:instrText>
          </w:r>
          <w:r>
            <w:fldChar w:fldCharType="separate"/>
          </w:r>
          <w:r>
            <w:rPr>
              <w:rStyle w:val="22"/>
              <w:rFonts w:hint="eastAsia" w:cs="黑体"/>
            </w:rPr>
            <w:t>4.4</w:t>
          </w:r>
          <w:r>
            <w:rPr>
              <w:rFonts w:hint="eastAsia" w:cstheme="minorBidi"/>
              <w:kern w:val="2"/>
              <w:szCs w:val="24"/>
              <w14:ligatures w14:val="standardContextual"/>
            </w:rPr>
            <w:t xml:space="preserve"> </w:t>
          </w:r>
          <w:r>
            <w:rPr>
              <w:rStyle w:val="22"/>
              <w:rFonts w:hint="eastAsia"/>
            </w:rPr>
            <w:t>设施设备要求</w:t>
          </w:r>
          <w:r>
            <w:rPr>
              <w:rFonts w:hint="eastAsia"/>
            </w:rPr>
            <w:tab/>
          </w:r>
          <w:r>
            <w:rPr>
              <w:rFonts w:hint="eastAsia"/>
            </w:rPr>
            <w:fldChar w:fldCharType="begin"/>
          </w:r>
          <w:r>
            <w:rPr>
              <w:rFonts w:hint="eastAsia"/>
            </w:rPr>
            <w:instrText xml:space="preserve"> </w:instrText>
          </w:r>
          <w:r>
            <w:instrText xml:space="preserve">PAGEREF _Toc198641762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1EFF7A70">
          <w:pPr>
            <w:pStyle w:val="12"/>
            <w:tabs>
              <w:tab w:val="right" w:leader="dot" w:pos="9348"/>
            </w:tabs>
            <w:rPr>
              <w:rFonts w:cstheme="minorBidi"/>
              <w:kern w:val="2"/>
              <w:szCs w:val="24"/>
              <w14:ligatures w14:val="standardContextual"/>
            </w:rPr>
          </w:pPr>
          <w:r>
            <w:fldChar w:fldCharType="begin"/>
          </w:r>
          <w:r>
            <w:instrText xml:space="preserve"> HYPERLINK \l "_Toc198641763" </w:instrText>
          </w:r>
          <w:r>
            <w:fldChar w:fldCharType="separate"/>
          </w:r>
          <w:r>
            <w:rPr>
              <w:rStyle w:val="22"/>
              <w:rFonts w:hint="eastAsia" w:cs="黑体"/>
            </w:rPr>
            <w:t>4.5</w:t>
          </w:r>
          <w:r>
            <w:rPr>
              <w:rFonts w:hint="eastAsia" w:cstheme="minorBidi"/>
              <w:kern w:val="2"/>
              <w:szCs w:val="24"/>
              <w14:ligatures w14:val="standardContextual"/>
            </w:rPr>
            <w:t xml:space="preserve"> </w:t>
          </w:r>
          <w:r>
            <w:rPr>
              <w:rStyle w:val="22"/>
              <w:rFonts w:hint="eastAsia"/>
            </w:rPr>
            <w:t>环境要求</w:t>
          </w:r>
          <w:r>
            <w:rPr>
              <w:rFonts w:hint="eastAsia"/>
            </w:rPr>
            <w:tab/>
          </w:r>
          <w:r>
            <w:rPr>
              <w:rFonts w:hint="eastAsia"/>
            </w:rPr>
            <w:fldChar w:fldCharType="begin"/>
          </w:r>
          <w:r>
            <w:rPr>
              <w:rFonts w:hint="eastAsia"/>
            </w:rPr>
            <w:instrText xml:space="preserve"> </w:instrText>
          </w:r>
          <w:r>
            <w:instrText xml:space="preserve">PAGEREF _Toc198641763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A08E59E">
          <w:pPr>
            <w:pStyle w:val="11"/>
            <w:rPr>
              <w:rFonts w:cstheme="minorBidi"/>
              <w:kern w:val="2"/>
              <w:szCs w:val="24"/>
              <w14:ligatures w14:val="standardContextual"/>
            </w:rPr>
          </w:pPr>
          <w:r>
            <w:fldChar w:fldCharType="begin"/>
          </w:r>
          <w:r>
            <w:instrText xml:space="preserve"> HYPERLINK \l "_Toc198641764" </w:instrText>
          </w:r>
          <w:r>
            <w:fldChar w:fldCharType="separate"/>
          </w:r>
          <w:r>
            <w:rPr>
              <w:rStyle w:val="22"/>
              <w:rFonts w:hint="eastAsia"/>
            </w:rPr>
            <w:t>5 内涵要点</w:t>
          </w:r>
          <w:r>
            <w:rPr>
              <w:rFonts w:hint="eastAsia"/>
            </w:rPr>
            <w:tab/>
          </w:r>
          <w:r>
            <w:rPr>
              <w:rFonts w:hint="eastAsia"/>
            </w:rPr>
            <w:fldChar w:fldCharType="begin"/>
          </w:r>
          <w:r>
            <w:rPr>
              <w:rFonts w:hint="eastAsia"/>
            </w:rPr>
            <w:instrText xml:space="preserve"> </w:instrText>
          </w:r>
          <w:r>
            <w:instrText xml:space="preserve">PAGEREF _Toc198641764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25DAA73">
          <w:pPr>
            <w:pStyle w:val="12"/>
            <w:tabs>
              <w:tab w:val="right" w:leader="dot" w:pos="9348"/>
            </w:tabs>
            <w:rPr>
              <w:rFonts w:cstheme="minorBidi"/>
              <w:kern w:val="2"/>
              <w:szCs w:val="24"/>
              <w14:ligatures w14:val="standardContextual"/>
            </w:rPr>
          </w:pPr>
          <w:r>
            <w:fldChar w:fldCharType="begin"/>
          </w:r>
          <w:r>
            <w:instrText xml:space="preserve"> HYPERLINK \l "_Toc198641765" </w:instrText>
          </w:r>
          <w:r>
            <w:fldChar w:fldCharType="separate"/>
          </w:r>
          <w:r>
            <w:rPr>
              <w:rStyle w:val="22"/>
              <w:rFonts w:hint="eastAsia" w:cs="黑体"/>
            </w:rPr>
            <w:t>5.1</w:t>
          </w:r>
          <w:r>
            <w:rPr>
              <w:rFonts w:hint="eastAsia" w:cstheme="minorBidi"/>
              <w:kern w:val="2"/>
              <w:szCs w:val="24"/>
              <w14:ligatures w14:val="standardContextual"/>
            </w:rPr>
            <w:t xml:space="preserve"> </w:t>
          </w:r>
          <w:r>
            <w:rPr>
              <w:rStyle w:val="22"/>
              <w:rFonts w:hint="eastAsia"/>
            </w:rPr>
            <w:t>天天处理</w:t>
          </w:r>
          <w:r>
            <w:rPr>
              <w:rFonts w:hint="eastAsia"/>
            </w:rPr>
            <w:tab/>
          </w:r>
          <w:r>
            <w:rPr>
              <w:rFonts w:hint="eastAsia"/>
            </w:rPr>
            <w:fldChar w:fldCharType="begin"/>
          </w:r>
          <w:r>
            <w:rPr>
              <w:rFonts w:hint="eastAsia"/>
            </w:rPr>
            <w:instrText xml:space="preserve"> </w:instrText>
          </w:r>
          <w:r>
            <w:instrText xml:space="preserve">PAGEREF _Toc198641765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E60E5A0">
          <w:pPr>
            <w:pStyle w:val="12"/>
            <w:tabs>
              <w:tab w:val="right" w:leader="dot" w:pos="9348"/>
            </w:tabs>
            <w:rPr>
              <w:rFonts w:cstheme="minorBidi"/>
              <w:kern w:val="2"/>
              <w:szCs w:val="24"/>
              <w14:ligatures w14:val="standardContextual"/>
            </w:rPr>
          </w:pPr>
          <w:r>
            <w:fldChar w:fldCharType="begin"/>
          </w:r>
          <w:r>
            <w:instrText xml:space="preserve"> HYPERLINK \l "_Toc198641766" </w:instrText>
          </w:r>
          <w:r>
            <w:fldChar w:fldCharType="separate"/>
          </w:r>
          <w:r>
            <w:rPr>
              <w:rStyle w:val="22"/>
              <w:rFonts w:hint="eastAsia" w:cs="黑体"/>
            </w:rPr>
            <w:t>5.2</w:t>
          </w:r>
          <w:r>
            <w:rPr>
              <w:rFonts w:hint="eastAsia" w:cstheme="minorBidi"/>
              <w:kern w:val="2"/>
              <w:szCs w:val="24"/>
              <w14:ligatures w14:val="standardContextual"/>
            </w:rPr>
            <w:t xml:space="preserve"> </w:t>
          </w:r>
          <w:r>
            <w:rPr>
              <w:rStyle w:val="22"/>
              <w:rFonts w:hint="eastAsia"/>
            </w:rPr>
            <w:t>天天整合</w:t>
          </w:r>
          <w:r>
            <w:rPr>
              <w:rFonts w:hint="eastAsia"/>
            </w:rPr>
            <w:tab/>
          </w:r>
          <w:r>
            <w:rPr>
              <w:rFonts w:hint="eastAsia"/>
            </w:rPr>
            <w:fldChar w:fldCharType="begin"/>
          </w:r>
          <w:r>
            <w:rPr>
              <w:rFonts w:hint="eastAsia"/>
            </w:rPr>
            <w:instrText xml:space="preserve"> </w:instrText>
          </w:r>
          <w:r>
            <w:instrText xml:space="preserve">PAGEREF _Toc198641766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165621E4">
          <w:pPr>
            <w:pStyle w:val="12"/>
            <w:tabs>
              <w:tab w:val="right" w:leader="dot" w:pos="9348"/>
            </w:tabs>
            <w:rPr>
              <w:rFonts w:cstheme="minorBidi"/>
              <w:kern w:val="2"/>
              <w:szCs w:val="24"/>
              <w14:ligatures w14:val="standardContextual"/>
            </w:rPr>
          </w:pPr>
          <w:r>
            <w:fldChar w:fldCharType="begin"/>
          </w:r>
          <w:r>
            <w:instrText xml:space="preserve"> HYPERLINK \l "_Toc198641767" </w:instrText>
          </w:r>
          <w:r>
            <w:fldChar w:fldCharType="separate"/>
          </w:r>
          <w:r>
            <w:rPr>
              <w:rStyle w:val="22"/>
              <w:rFonts w:hint="eastAsia" w:cs="黑体"/>
            </w:rPr>
            <w:t>5.3</w:t>
          </w:r>
          <w:r>
            <w:rPr>
              <w:rFonts w:hint="eastAsia" w:cstheme="minorBidi"/>
              <w:kern w:val="2"/>
              <w:szCs w:val="24"/>
              <w14:ligatures w14:val="standardContextual"/>
            </w:rPr>
            <w:t xml:space="preserve"> </w:t>
          </w:r>
          <w:r>
            <w:rPr>
              <w:rStyle w:val="22"/>
              <w:rFonts w:hint="eastAsia"/>
            </w:rPr>
            <w:t>天天清扫</w:t>
          </w:r>
          <w:r>
            <w:rPr>
              <w:rFonts w:hint="eastAsia"/>
            </w:rPr>
            <w:tab/>
          </w:r>
          <w:r>
            <w:rPr>
              <w:rFonts w:hint="eastAsia"/>
            </w:rPr>
            <w:fldChar w:fldCharType="begin"/>
          </w:r>
          <w:r>
            <w:rPr>
              <w:rFonts w:hint="eastAsia"/>
            </w:rPr>
            <w:instrText xml:space="preserve"> </w:instrText>
          </w:r>
          <w:r>
            <w:instrText xml:space="preserve">PAGEREF _Toc198641767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15ED790">
          <w:pPr>
            <w:pStyle w:val="12"/>
            <w:tabs>
              <w:tab w:val="right" w:leader="dot" w:pos="9348"/>
            </w:tabs>
            <w:rPr>
              <w:rFonts w:cstheme="minorBidi"/>
              <w:kern w:val="2"/>
              <w:szCs w:val="24"/>
              <w14:ligatures w14:val="standardContextual"/>
            </w:rPr>
          </w:pPr>
          <w:r>
            <w:fldChar w:fldCharType="begin"/>
          </w:r>
          <w:r>
            <w:instrText xml:space="preserve"> HYPERLINK \l "_Toc198641768" </w:instrText>
          </w:r>
          <w:r>
            <w:fldChar w:fldCharType="separate"/>
          </w:r>
          <w:r>
            <w:rPr>
              <w:rStyle w:val="22"/>
              <w:rFonts w:hint="eastAsia" w:cs="黑体"/>
            </w:rPr>
            <w:t>5.4</w:t>
          </w:r>
          <w:r>
            <w:rPr>
              <w:rFonts w:hint="eastAsia" w:cstheme="minorBidi"/>
              <w:kern w:val="2"/>
              <w:szCs w:val="24"/>
              <w14:ligatures w14:val="standardContextual"/>
            </w:rPr>
            <w:t xml:space="preserve"> </w:t>
          </w:r>
          <w:r>
            <w:rPr>
              <w:rStyle w:val="22"/>
              <w:rFonts w:hint="eastAsia"/>
            </w:rPr>
            <w:t>天天规范</w:t>
          </w:r>
          <w:r>
            <w:rPr>
              <w:rFonts w:hint="eastAsia"/>
            </w:rPr>
            <w:tab/>
          </w:r>
          <w:r>
            <w:rPr>
              <w:rFonts w:hint="eastAsia"/>
            </w:rPr>
            <w:fldChar w:fldCharType="begin"/>
          </w:r>
          <w:r>
            <w:rPr>
              <w:rFonts w:hint="eastAsia"/>
            </w:rPr>
            <w:instrText xml:space="preserve"> </w:instrText>
          </w:r>
          <w:r>
            <w:instrText xml:space="preserve">PAGEREF _Toc198641768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E80577A">
          <w:pPr>
            <w:pStyle w:val="12"/>
            <w:tabs>
              <w:tab w:val="right" w:leader="dot" w:pos="9348"/>
            </w:tabs>
            <w:rPr>
              <w:rFonts w:cstheme="minorBidi"/>
              <w:kern w:val="2"/>
              <w:szCs w:val="24"/>
              <w14:ligatures w14:val="standardContextual"/>
            </w:rPr>
          </w:pPr>
          <w:r>
            <w:fldChar w:fldCharType="begin"/>
          </w:r>
          <w:r>
            <w:instrText xml:space="preserve"> HYPERLINK \l "_Toc198641769" </w:instrText>
          </w:r>
          <w:r>
            <w:fldChar w:fldCharType="separate"/>
          </w:r>
          <w:r>
            <w:rPr>
              <w:rStyle w:val="22"/>
              <w:rFonts w:hint="eastAsia" w:cs="黑体"/>
            </w:rPr>
            <w:t>5.5</w:t>
          </w:r>
          <w:r>
            <w:rPr>
              <w:rFonts w:hint="eastAsia" w:cstheme="minorBidi"/>
              <w:kern w:val="2"/>
              <w:szCs w:val="24"/>
              <w14:ligatures w14:val="standardContextual"/>
            </w:rPr>
            <w:t xml:space="preserve"> </w:t>
          </w:r>
          <w:r>
            <w:rPr>
              <w:rStyle w:val="22"/>
              <w:rFonts w:hint="eastAsia"/>
            </w:rPr>
            <w:t>天天检查</w:t>
          </w:r>
          <w:r>
            <w:rPr>
              <w:rFonts w:hint="eastAsia"/>
            </w:rPr>
            <w:tab/>
          </w:r>
          <w:r>
            <w:rPr>
              <w:rFonts w:hint="eastAsia"/>
            </w:rPr>
            <w:fldChar w:fldCharType="begin"/>
          </w:r>
          <w:r>
            <w:rPr>
              <w:rFonts w:hint="eastAsia"/>
            </w:rPr>
            <w:instrText xml:space="preserve"> </w:instrText>
          </w:r>
          <w:r>
            <w:instrText xml:space="preserve">PAGEREF _Toc198641769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CA8A496">
          <w:pPr>
            <w:pStyle w:val="12"/>
            <w:tabs>
              <w:tab w:val="right" w:leader="dot" w:pos="9348"/>
            </w:tabs>
            <w:rPr>
              <w:rFonts w:cstheme="minorBidi"/>
              <w:kern w:val="2"/>
              <w:szCs w:val="24"/>
              <w14:ligatures w14:val="standardContextual"/>
            </w:rPr>
          </w:pPr>
          <w:r>
            <w:fldChar w:fldCharType="begin"/>
          </w:r>
          <w:r>
            <w:instrText xml:space="preserve"> HYPERLINK \l "_Toc198641770" </w:instrText>
          </w:r>
          <w:r>
            <w:fldChar w:fldCharType="separate"/>
          </w:r>
          <w:r>
            <w:rPr>
              <w:rStyle w:val="22"/>
              <w:rFonts w:hint="eastAsia" w:cs="黑体"/>
            </w:rPr>
            <w:t>5.6</w:t>
          </w:r>
          <w:r>
            <w:rPr>
              <w:rFonts w:hint="eastAsia" w:cstheme="minorBidi"/>
              <w:kern w:val="2"/>
              <w:szCs w:val="24"/>
              <w14:ligatures w14:val="standardContextual"/>
            </w:rPr>
            <w:t xml:space="preserve"> </w:t>
          </w:r>
          <w:r>
            <w:rPr>
              <w:rStyle w:val="22"/>
              <w:rFonts w:hint="eastAsia"/>
            </w:rPr>
            <w:t>天天改进</w:t>
          </w:r>
          <w:r>
            <w:rPr>
              <w:rFonts w:hint="eastAsia"/>
            </w:rPr>
            <w:tab/>
          </w:r>
          <w:r>
            <w:rPr>
              <w:rFonts w:hint="eastAsia"/>
            </w:rPr>
            <w:fldChar w:fldCharType="begin"/>
          </w:r>
          <w:r>
            <w:rPr>
              <w:rFonts w:hint="eastAsia"/>
            </w:rPr>
            <w:instrText xml:space="preserve"> </w:instrText>
          </w:r>
          <w:r>
            <w:instrText xml:space="preserve">PAGEREF _Toc198641770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CBED57D">
          <w:pPr>
            <w:pStyle w:val="11"/>
            <w:rPr>
              <w:rFonts w:cstheme="minorBidi"/>
              <w:kern w:val="2"/>
              <w:szCs w:val="24"/>
              <w14:ligatures w14:val="standardContextual"/>
            </w:rPr>
          </w:pPr>
          <w:r>
            <w:fldChar w:fldCharType="begin"/>
          </w:r>
          <w:r>
            <w:instrText xml:space="preserve"> HYPERLINK \l "_Toc198641771" </w:instrText>
          </w:r>
          <w:r>
            <w:fldChar w:fldCharType="separate"/>
          </w:r>
          <w:r>
            <w:rPr>
              <w:rStyle w:val="22"/>
              <w:rFonts w:hint="eastAsia"/>
            </w:rPr>
            <w:t>6 规范标准</w:t>
          </w:r>
          <w:r>
            <w:rPr>
              <w:rFonts w:hint="eastAsia"/>
            </w:rPr>
            <w:tab/>
          </w:r>
          <w:r>
            <w:rPr>
              <w:rFonts w:hint="eastAsia"/>
            </w:rPr>
            <w:fldChar w:fldCharType="begin"/>
          </w:r>
          <w:r>
            <w:rPr>
              <w:rFonts w:hint="eastAsia"/>
            </w:rPr>
            <w:instrText xml:space="preserve"> </w:instrText>
          </w:r>
          <w:r>
            <w:instrText xml:space="preserve">PAGEREF _Toc198641771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010E715">
          <w:pPr>
            <w:pStyle w:val="12"/>
            <w:tabs>
              <w:tab w:val="right" w:leader="dot" w:pos="9348"/>
            </w:tabs>
            <w:rPr>
              <w:rFonts w:cstheme="minorBidi"/>
              <w:kern w:val="2"/>
              <w:szCs w:val="24"/>
              <w14:ligatures w14:val="standardContextual"/>
            </w:rPr>
          </w:pPr>
          <w:r>
            <w:fldChar w:fldCharType="begin"/>
          </w:r>
          <w:r>
            <w:instrText xml:space="preserve"> HYPERLINK \l "_Toc198641772" </w:instrText>
          </w:r>
          <w:r>
            <w:fldChar w:fldCharType="separate"/>
          </w:r>
          <w:r>
            <w:rPr>
              <w:rStyle w:val="22"/>
              <w:rFonts w:hint="eastAsia"/>
            </w:rPr>
            <w:t>6.1 个人卫生</w:t>
          </w:r>
          <w:r>
            <w:rPr>
              <w:rFonts w:hint="eastAsia"/>
            </w:rPr>
            <w:tab/>
          </w:r>
          <w:r>
            <w:rPr>
              <w:rFonts w:hint="eastAsia"/>
            </w:rPr>
            <w:fldChar w:fldCharType="begin"/>
          </w:r>
          <w:r>
            <w:rPr>
              <w:rFonts w:hint="eastAsia"/>
            </w:rPr>
            <w:instrText xml:space="preserve"> </w:instrText>
          </w:r>
          <w:r>
            <w:instrText xml:space="preserve">PAGEREF _Toc198641772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37DB126">
          <w:pPr>
            <w:pStyle w:val="12"/>
            <w:tabs>
              <w:tab w:val="right" w:leader="dot" w:pos="9348"/>
            </w:tabs>
            <w:rPr>
              <w:rFonts w:cstheme="minorBidi"/>
              <w:kern w:val="2"/>
              <w:szCs w:val="24"/>
              <w14:ligatures w14:val="standardContextual"/>
            </w:rPr>
          </w:pPr>
          <w:r>
            <w:fldChar w:fldCharType="begin"/>
          </w:r>
          <w:r>
            <w:instrText xml:space="preserve"> HYPERLINK \l "_Toc198641773" </w:instrText>
          </w:r>
          <w:r>
            <w:fldChar w:fldCharType="separate"/>
          </w:r>
          <w:r>
            <w:rPr>
              <w:rStyle w:val="22"/>
              <w:rFonts w:hint="eastAsia"/>
            </w:rPr>
            <w:t>6.2 场所环境</w:t>
          </w:r>
          <w:r>
            <w:rPr>
              <w:rFonts w:hint="eastAsia"/>
            </w:rPr>
            <w:tab/>
          </w:r>
          <w:r>
            <w:rPr>
              <w:rFonts w:hint="eastAsia"/>
            </w:rPr>
            <w:fldChar w:fldCharType="begin"/>
          </w:r>
          <w:r>
            <w:rPr>
              <w:rFonts w:hint="eastAsia"/>
            </w:rPr>
            <w:instrText xml:space="preserve"> </w:instrText>
          </w:r>
          <w:r>
            <w:instrText xml:space="preserve">PAGEREF _Toc198641773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801D234">
          <w:pPr>
            <w:pStyle w:val="12"/>
            <w:tabs>
              <w:tab w:val="right" w:leader="dot" w:pos="9348"/>
            </w:tabs>
            <w:rPr>
              <w:rFonts w:cstheme="minorBidi"/>
              <w:kern w:val="2"/>
              <w:szCs w:val="24"/>
              <w14:ligatures w14:val="standardContextual"/>
            </w:rPr>
          </w:pPr>
          <w:r>
            <w:fldChar w:fldCharType="begin"/>
          </w:r>
          <w:r>
            <w:instrText xml:space="preserve"> HYPERLINK \l "_Toc198641774" </w:instrText>
          </w:r>
          <w:r>
            <w:fldChar w:fldCharType="separate"/>
          </w:r>
          <w:r>
            <w:rPr>
              <w:rStyle w:val="22"/>
              <w:rFonts w:hint="eastAsia"/>
            </w:rPr>
            <w:t>6.3 仓库管理</w:t>
          </w:r>
          <w:r>
            <w:rPr>
              <w:rFonts w:hint="eastAsia"/>
            </w:rPr>
            <w:tab/>
          </w:r>
          <w:r>
            <w:rPr>
              <w:rFonts w:hint="eastAsia"/>
            </w:rPr>
            <w:fldChar w:fldCharType="begin"/>
          </w:r>
          <w:r>
            <w:rPr>
              <w:rFonts w:hint="eastAsia"/>
            </w:rPr>
            <w:instrText xml:space="preserve"> </w:instrText>
          </w:r>
          <w:r>
            <w:instrText xml:space="preserve">PAGEREF _Toc198641774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8E9DC5F">
          <w:pPr>
            <w:pStyle w:val="12"/>
            <w:tabs>
              <w:tab w:val="right" w:leader="dot" w:pos="9348"/>
            </w:tabs>
            <w:rPr>
              <w:rFonts w:cstheme="minorBidi"/>
              <w:kern w:val="2"/>
              <w:szCs w:val="24"/>
              <w14:ligatures w14:val="standardContextual"/>
            </w:rPr>
          </w:pPr>
          <w:r>
            <w:fldChar w:fldCharType="begin"/>
          </w:r>
          <w:r>
            <w:instrText xml:space="preserve"> HYPERLINK \l "_Toc198641775" </w:instrText>
          </w:r>
          <w:r>
            <w:fldChar w:fldCharType="separate"/>
          </w:r>
          <w:r>
            <w:rPr>
              <w:rStyle w:val="22"/>
              <w:rFonts w:hint="eastAsia"/>
            </w:rPr>
            <w:t>6.4 冰箱（库）管理</w:t>
          </w:r>
          <w:r>
            <w:rPr>
              <w:rFonts w:hint="eastAsia"/>
            </w:rPr>
            <w:tab/>
          </w:r>
          <w:r>
            <w:rPr>
              <w:rFonts w:hint="eastAsia"/>
            </w:rPr>
            <w:fldChar w:fldCharType="begin"/>
          </w:r>
          <w:r>
            <w:rPr>
              <w:rFonts w:hint="eastAsia"/>
            </w:rPr>
            <w:instrText xml:space="preserve"> </w:instrText>
          </w:r>
          <w:r>
            <w:instrText xml:space="preserve">PAGEREF _Toc198641775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EB80D4A">
          <w:pPr>
            <w:pStyle w:val="12"/>
            <w:tabs>
              <w:tab w:val="right" w:leader="dot" w:pos="9348"/>
            </w:tabs>
            <w:rPr>
              <w:rFonts w:cstheme="minorBidi"/>
              <w:kern w:val="2"/>
              <w:szCs w:val="24"/>
              <w14:ligatures w14:val="standardContextual"/>
            </w:rPr>
          </w:pPr>
          <w:r>
            <w:fldChar w:fldCharType="begin"/>
          </w:r>
          <w:r>
            <w:instrText xml:space="preserve"> HYPERLINK \l "_Toc198641776" </w:instrText>
          </w:r>
          <w:r>
            <w:fldChar w:fldCharType="separate"/>
          </w:r>
          <w:r>
            <w:rPr>
              <w:rStyle w:val="22"/>
              <w:rFonts w:hint="eastAsia"/>
            </w:rPr>
            <w:t>6.5 加工制作</w:t>
          </w:r>
          <w:r>
            <w:rPr>
              <w:rFonts w:hint="eastAsia"/>
            </w:rPr>
            <w:tab/>
          </w:r>
          <w:r>
            <w:rPr>
              <w:rFonts w:hint="eastAsia"/>
            </w:rPr>
            <w:fldChar w:fldCharType="begin"/>
          </w:r>
          <w:r>
            <w:rPr>
              <w:rFonts w:hint="eastAsia"/>
            </w:rPr>
            <w:instrText xml:space="preserve"> </w:instrText>
          </w:r>
          <w:r>
            <w:instrText xml:space="preserve">PAGEREF _Toc198641776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5E2B57D">
          <w:pPr>
            <w:pStyle w:val="12"/>
            <w:tabs>
              <w:tab w:val="right" w:leader="dot" w:pos="9348"/>
            </w:tabs>
            <w:rPr>
              <w:rFonts w:cstheme="minorBidi"/>
              <w:kern w:val="2"/>
              <w:szCs w:val="24"/>
              <w14:ligatures w14:val="standardContextual"/>
            </w:rPr>
          </w:pPr>
          <w:r>
            <w:fldChar w:fldCharType="begin"/>
          </w:r>
          <w:r>
            <w:instrText xml:space="preserve"> HYPERLINK \l "_Toc198641777" </w:instrText>
          </w:r>
          <w:r>
            <w:fldChar w:fldCharType="separate"/>
          </w:r>
          <w:r>
            <w:rPr>
              <w:rStyle w:val="22"/>
              <w:rFonts w:hint="eastAsia"/>
            </w:rPr>
            <w:t>6.6 专间操作</w:t>
          </w:r>
          <w:r>
            <w:rPr>
              <w:rFonts w:hint="eastAsia"/>
            </w:rPr>
            <w:tab/>
          </w:r>
          <w:r>
            <w:rPr>
              <w:rFonts w:hint="eastAsia"/>
            </w:rPr>
            <w:fldChar w:fldCharType="begin"/>
          </w:r>
          <w:r>
            <w:rPr>
              <w:rFonts w:hint="eastAsia"/>
            </w:rPr>
            <w:instrText xml:space="preserve"> </w:instrText>
          </w:r>
          <w:r>
            <w:instrText xml:space="preserve">PAGEREF _Toc198641777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05593B94">
          <w:pPr>
            <w:pStyle w:val="12"/>
            <w:tabs>
              <w:tab w:val="right" w:leader="dot" w:pos="9348"/>
            </w:tabs>
            <w:rPr>
              <w:rFonts w:cstheme="minorBidi"/>
              <w:kern w:val="2"/>
              <w:szCs w:val="24"/>
              <w14:ligatures w14:val="standardContextual"/>
            </w:rPr>
          </w:pPr>
          <w:r>
            <w:fldChar w:fldCharType="begin"/>
          </w:r>
          <w:r>
            <w:instrText xml:space="preserve"> HYPERLINK \l "_Toc198641778" </w:instrText>
          </w:r>
          <w:r>
            <w:fldChar w:fldCharType="separate"/>
          </w:r>
          <w:r>
            <w:rPr>
              <w:rStyle w:val="22"/>
              <w:rFonts w:hint="eastAsia"/>
            </w:rPr>
            <w:t>6.7 规范存放</w:t>
          </w:r>
          <w:r>
            <w:rPr>
              <w:rFonts w:hint="eastAsia"/>
            </w:rPr>
            <w:tab/>
          </w:r>
          <w:r>
            <w:rPr>
              <w:rFonts w:hint="eastAsia"/>
            </w:rPr>
            <w:fldChar w:fldCharType="begin"/>
          </w:r>
          <w:r>
            <w:rPr>
              <w:rFonts w:hint="eastAsia"/>
            </w:rPr>
            <w:instrText xml:space="preserve"> </w:instrText>
          </w:r>
          <w:r>
            <w:instrText xml:space="preserve">PAGEREF _Toc198641778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4B4F54F6">
          <w:pPr>
            <w:pStyle w:val="12"/>
            <w:tabs>
              <w:tab w:val="right" w:leader="dot" w:pos="9348"/>
            </w:tabs>
            <w:rPr>
              <w:rFonts w:cstheme="minorBidi"/>
              <w:kern w:val="2"/>
              <w:szCs w:val="24"/>
              <w14:ligatures w14:val="standardContextual"/>
            </w:rPr>
          </w:pPr>
          <w:r>
            <w:fldChar w:fldCharType="begin"/>
          </w:r>
          <w:r>
            <w:instrText xml:space="preserve"> HYPERLINK \l "_Toc198641779" </w:instrText>
          </w:r>
          <w:r>
            <w:fldChar w:fldCharType="separate"/>
          </w:r>
          <w:r>
            <w:rPr>
              <w:rStyle w:val="22"/>
              <w:rFonts w:hint="eastAsia"/>
            </w:rPr>
            <w:t>6.8 安全卫生</w:t>
          </w:r>
          <w:r>
            <w:rPr>
              <w:rFonts w:hint="eastAsia"/>
            </w:rPr>
            <w:tab/>
          </w:r>
          <w:r>
            <w:rPr>
              <w:rFonts w:hint="eastAsia"/>
            </w:rPr>
            <w:fldChar w:fldCharType="begin"/>
          </w:r>
          <w:r>
            <w:rPr>
              <w:rFonts w:hint="eastAsia"/>
            </w:rPr>
            <w:instrText xml:space="preserve"> </w:instrText>
          </w:r>
          <w:r>
            <w:instrText xml:space="preserve">PAGEREF _Toc198641779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3D7B440C">
          <w:pPr>
            <w:pStyle w:val="12"/>
            <w:tabs>
              <w:tab w:val="right" w:leader="dot" w:pos="9348"/>
            </w:tabs>
            <w:rPr>
              <w:rFonts w:cstheme="minorBidi"/>
              <w:kern w:val="2"/>
              <w:szCs w:val="24"/>
              <w14:ligatures w14:val="standardContextual"/>
            </w:rPr>
          </w:pPr>
          <w:r>
            <w:fldChar w:fldCharType="begin"/>
          </w:r>
          <w:r>
            <w:instrText xml:space="preserve"> HYPERLINK \l "_Toc198641780" </w:instrText>
          </w:r>
          <w:r>
            <w:fldChar w:fldCharType="separate"/>
          </w:r>
          <w:r>
            <w:rPr>
              <w:rStyle w:val="22"/>
              <w:rFonts w:hint="eastAsia"/>
            </w:rPr>
            <w:t>6.9 清洗消毒</w:t>
          </w:r>
          <w:r>
            <w:rPr>
              <w:rFonts w:hint="eastAsia"/>
            </w:rPr>
            <w:tab/>
          </w:r>
          <w:r>
            <w:rPr>
              <w:rFonts w:hint="eastAsia"/>
            </w:rPr>
            <w:fldChar w:fldCharType="begin"/>
          </w:r>
          <w:r>
            <w:rPr>
              <w:rFonts w:hint="eastAsia"/>
            </w:rPr>
            <w:instrText xml:space="preserve"> </w:instrText>
          </w:r>
          <w:r>
            <w:instrText xml:space="preserve">PAGEREF _Toc198641780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3CEE62AA">
          <w:pPr>
            <w:pStyle w:val="12"/>
            <w:tabs>
              <w:tab w:val="right" w:leader="dot" w:pos="9348"/>
            </w:tabs>
            <w:rPr>
              <w:rFonts w:cstheme="minorBidi"/>
              <w:kern w:val="2"/>
              <w:szCs w:val="24"/>
              <w14:ligatures w14:val="standardContextual"/>
            </w:rPr>
          </w:pPr>
          <w:r>
            <w:fldChar w:fldCharType="begin"/>
          </w:r>
          <w:r>
            <w:instrText xml:space="preserve"> HYPERLINK \l "_Toc198641781" </w:instrText>
          </w:r>
          <w:r>
            <w:fldChar w:fldCharType="separate"/>
          </w:r>
          <w:r>
            <w:rPr>
              <w:rStyle w:val="22"/>
              <w:rFonts w:hint="eastAsia"/>
            </w:rPr>
            <w:t>6.10 台账记录</w:t>
          </w:r>
          <w:r>
            <w:rPr>
              <w:rFonts w:hint="eastAsia"/>
            </w:rPr>
            <w:tab/>
          </w:r>
          <w:r>
            <w:rPr>
              <w:rFonts w:hint="eastAsia"/>
            </w:rPr>
            <w:fldChar w:fldCharType="begin"/>
          </w:r>
          <w:r>
            <w:rPr>
              <w:rFonts w:hint="eastAsia"/>
            </w:rPr>
            <w:instrText xml:space="preserve"> </w:instrText>
          </w:r>
          <w:r>
            <w:instrText xml:space="preserve">PAGEREF _Toc198641781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04BF996">
          <w:pPr>
            <w:pStyle w:val="11"/>
            <w:rPr>
              <w:rFonts w:cstheme="minorBidi"/>
              <w:kern w:val="2"/>
              <w:szCs w:val="24"/>
              <w14:ligatures w14:val="standardContextual"/>
            </w:rPr>
          </w:pPr>
          <w:r>
            <w:fldChar w:fldCharType="begin"/>
          </w:r>
          <w:r>
            <w:instrText xml:space="preserve"> HYPERLINK \l "_Toc198641782" </w:instrText>
          </w:r>
          <w:r>
            <w:fldChar w:fldCharType="separate"/>
          </w:r>
          <w:r>
            <w:rPr>
              <w:rStyle w:val="22"/>
              <w:rFonts w:hint="eastAsia"/>
            </w:rPr>
            <w:t>附录 A （规范性）上海市中小学食堂“六T”实务现场管理检查评估内容和评分标准</w:t>
          </w:r>
          <w:r>
            <w:rPr>
              <w:rFonts w:hint="eastAsia"/>
            </w:rPr>
            <w:tab/>
          </w:r>
          <w:r>
            <w:rPr>
              <w:rFonts w:hint="eastAsia"/>
            </w:rPr>
            <w:fldChar w:fldCharType="begin"/>
          </w:r>
          <w:r>
            <w:rPr>
              <w:rFonts w:hint="eastAsia"/>
            </w:rPr>
            <w:instrText xml:space="preserve"> </w:instrText>
          </w:r>
          <w:r>
            <w:instrText xml:space="preserve">PAGEREF _Toc198641782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1DB2C390">
          <w:pPr>
            <w:pStyle w:val="11"/>
            <w:rPr>
              <w:rFonts w:cstheme="minorBidi"/>
              <w:kern w:val="2"/>
              <w:szCs w:val="24"/>
              <w14:ligatures w14:val="standardContextual"/>
            </w:rPr>
          </w:pPr>
          <w:r>
            <w:fldChar w:fldCharType="begin"/>
          </w:r>
          <w:r>
            <w:instrText xml:space="preserve"> HYPERLINK \l "_Toc198641783" </w:instrText>
          </w:r>
          <w:r>
            <w:fldChar w:fldCharType="separate"/>
          </w:r>
          <w:r>
            <w:rPr>
              <w:rStyle w:val="22"/>
              <w:rFonts w:hint="eastAsia"/>
            </w:rPr>
            <w:t>附录 B （规范性）浦东新区中小学食堂“六T”实务现场管理标识/标签规范要求</w:t>
          </w:r>
          <w:r>
            <w:rPr>
              <w:rFonts w:hint="eastAsia"/>
            </w:rPr>
            <w:tab/>
          </w:r>
          <w:r>
            <w:rPr>
              <w:rFonts w:hint="eastAsia"/>
            </w:rPr>
            <w:fldChar w:fldCharType="begin"/>
          </w:r>
          <w:r>
            <w:rPr>
              <w:rFonts w:hint="eastAsia"/>
            </w:rPr>
            <w:instrText xml:space="preserve"> </w:instrText>
          </w:r>
          <w:r>
            <w:instrText xml:space="preserve">PAGEREF _Toc198641783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06D2BF5">
          <w:pPr>
            <w:pStyle w:val="11"/>
            <w:adjustRightInd w:val="0"/>
            <w:snapToGrid w:val="0"/>
            <w:spacing w:after="0" w:line="320" w:lineRule="exact"/>
            <w:rPr>
              <w:rStyle w:val="22"/>
              <w:color w:val="auto"/>
            </w:rPr>
          </w:pPr>
          <w:r>
            <w:rPr>
              <w:rStyle w:val="22"/>
              <w:rFonts w:hint="eastAsia" w:ascii="宋体" w:hAnsi="宋体" w:eastAsia="宋体" w:cs="宋体"/>
              <w:color w:val="auto"/>
              <w:sz w:val="21"/>
              <w:szCs w:val="21"/>
            </w:rPr>
            <w:fldChar w:fldCharType="end"/>
          </w:r>
        </w:p>
      </w:sdtContent>
    </w:sdt>
    <w:p w14:paraId="773C1863">
      <w:pPr>
        <w:rPr>
          <w:rFonts w:cs="Times New Roman" w:asciiTheme="minorHAnsi" w:hAnsiTheme="minorHAnsi" w:eastAsiaTheme="minorEastAsia"/>
        </w:rPr>
      </w:pPr>
    </w:p>
    <w:p w14:paraId="57808B9F">
      <w:pPr>
        <w:rPr>
          <w:rFonts w:cs="Times New Roman" w:asciiTheme="minorHAnsi" w:hAnsiTheme="minorHAnsi" w:eastAsiaTheme="minorEastAsia"/>
        </w:rPr>
        <w:sectPr>
          <w:headerReference r:id="rId9" w:type="first"/>
          <w:footerReference r:id="rId10" w:type="first"/>
          <w:pgSz w:w="11910" w:h="16840"/>
          <w:pgMar w:top="1417" w:right="1134" w:bottom="1417" w:left="1418" w:header="1429" w:footer="851" w:gutter="0"/>
          <w:pgNumType w:fmt="upperRoman" w:start="1"/>
          <w:cols w:space="720" w:num="1"/>
          <w:titlePg/>
          <w:docGrid w:linePitch="299" w:charSpace="0"/>
        </w:sectPr>
      </w:pPr>
    </w:p>
    <w:p w14:paraId="7979294D">
      <w:pPr>
        <w:pStyle w:val="2"/>
        <w:rPr>
          <w:rFonts w:hint="eastAsia"/>
        </w:rPr>
      </w:pPr>
      <w:bookmarkStart w:id="0" w:name="_Toc198641754"/>
      <w:bookmarkStart w:id="1" w:name="_Toc154064770"/>
      <w:r>
        <w:rPr>
          <w:rFonts w:hint="eastAsia"/>
        </w:rPr>
        <w:t xml:space="preserve">前 </w:t>
      </w:r>
      <w:r>
        <w:t xml:space="preserve"> </w:t>
      </w:r>
      <w:r>
        <w:rPr>
          <w:rFonts w:hint="eastAsia"/>
        </w:rPr>
        <w:t>言</w:t>
      </w:r>
      <w:bookmarkEnd w:id="0"/>
      <w:bookmarkEnd w:id="1"/>
    </w:p>
    <w:p w14:paraId="3832674F">
      <w:pPr>
        <w:autoSpaceDE/>
        <w:autoSpaceDN/>
        <w:spacing w:line="320" w:lineRule="exact"/>
        <w:ind w:firstLine="420" w:firstLineChars="200"/>
        <w:jc w:val="both"/>
        <w:rPr>
          <w:rFonts w:hint="eastAsia" w:cs="Times New Roman"/>
          <w:kern w:val="2"/>
          <w:sz w:val="21"/>
          <w:szCs w:val="21"/>
        </w:rPr>
      </w:pPr>
      <w:bookmarkStart w:id="2" w:name="_Hlk70521511"/>
    </w:p>
    <w:p w14:paraId="00B210C1">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本文件按照GB/T 1.1-2020《标准化工作导则  第1部分：标准化文件的结构和起草规则》的规定起草。</w:t>
      </w:r>
    </w:p>
    <w:p w14:paraId="4A39616D">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本文件由XXXXXXX提出。</w:t>
      </w:r>
    </w:p>
    <w:p w14:paraId="165B7DF9">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本文件由上海市浦东新区食品药品安全管理协会归口。</w:t>
      </w:r>
    </w:p>
    <w:p w14:paraId="4EFC838F">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请注意本文件的某些内容可能涉及专利。本文件的发布机构不承担识别专利的责任。</w:t>
      </w:r>
    </w:p>
    <w:p w14:paraId="484FF771">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声明：本文件的知识产权归属上海市浦东新区食品药品安全管理协会，未经上海市浦东新区食品药品安全管理协会同意不得印刷、销售。</w:t>
      </w:r>
    </w:p>
    <w:p w14:paraId="3ED47282">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本文件起草单位：上海市浦东新区食品药品安全管理协会、XXXXXX。</w:t>
      </w:r>
    </w:p>
    <w:p w14:paraId="7739B180">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本文件主要起草人：XXX、XXX、XXX。</w:t>
      </w:r>
      <w:bookmarkEnd w:id="2"/>
    </w:p>
    <w:p w14:paraId="7B5B7841">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首批承诺执行单位：XXX、XXX、XXX、XXX、XXX。</w:t>
      </w:r>
    </w:p>
    <w:p w14:paraId="7F214015">
      <w:pPr>
        <w:autoSpaceDE/>
        <w:autoSpaceDN/>
        <w:spacing w:line="320" w:lineRule="exact"/>
        <w:ind w:firstLine="420" w:firstLineChars="200"/>
        <w:jc w:val="both"/>
        <w:rPr>
          <w:rFonts w:hint="eastAsia" w:cs="Times New Roman"/>
          <w:kern w:val="2"/>
          <w:sz w:val="21"/>
          <w:szCs w:val="21"/>
        </w:rPr>
      </w:pPr>
      <w:r>
        <w:rPr>
          <w:rFonts w:hint="eastAsia" w:cs="Times New Roman"/>
          <w:kern w:val="2"/>
          <w:sz w:val="21"/>
          <w:szCs w:val="21"/>
        </w:rPr>
        <w:t>本文件于2025年XX月XX日首次发布。</w:t>
      </w:r>
    </w:p>
    <w:p w14:paraId="39A46A2E">
      <w:pPr>
        <w:tabs>
          <w:tab w:val="left" w:pos="1134"/>
        </w:tabs>
        <w:spacing w:before="214" w:line="360" w:lineRule="auto"/>
        <w:ind w:left="73" w:right="92"/>
        <w:jc w:val="center"/>
        <w:rPr>
          <w:rFonts w:hint="eastAsia" w:ascii="黑体" w:hAnsi="黑体" w:eastAsia="黑体" w:cs="黑体"/>
          <w:bCs/>
          <w:sz w:val="32"/>
          <w:szCs w:val="32"/>
        </w:rPr>
      </w:pPr>
    </w:p>
    <w:p w14:paraId="738A269F">
      <w:pPr>
        <w:rPr>
          <w:rFonts w:hint="eastAsia" w:ascii="黑体" w:hAnsi="黑体" w:eastAsia="黑体" w:cs="黑体"/>
          <w:sz w:val="32"/>
          <w:szCs w:val="32"/>
        </w:rPr>
      </w:pPr>
    </w:p>
    <w:p w14:paraId="15F89FA5">
      <w:pPr>
        <w:jc w:val="center"/>
        <w:rPr>
          <w:rFonts w:hint="eastAsia" w:ascii="黑体" w:hAnsi="黑体" w:eastAsia="黑体" w:cs="黑体"/>
          <w:sz w:val="32"/>
          <w:szCs w:val="32"/>
        </w:rPr>
      </w:pPr>
    </w:p>
    <w:p w14:paraId="7E113668">
      <w:pPr>
        <w:rPr>
          <w:rFonts w:hint="eastAsia" w:ascii="黑体" w:hAnsi="黑体" w:eastAsia="黑体" w:cs="黑体"/>
          <w:sz w:val="32"/>
          <w:szCs w:val="32"/>
        </w:rPr>
      </w:pPr>
    </w:p>
    <w:p w14:paraId="75614032">
      <w:pPr>
        <w:rPr>
          <w:rFonts w:hint="eastAsia" w:ascii="黑体" w:hAnsi="黑体" w:eastAsia="黑体" w:cs="黑体"/>
          <w:sz w:val="32"/>
          <w:szCs w:val="32"/>
        </w:rPr>
        <w:sectPr>
          <w:headerReference r:id="rId12" w:type="first"/>
          <w:footerReference r:id="rId14" w:type="first"/>
          <w:headerReference r:id="rId11" w:type="even"/>
          <w:footerReference r:id="rId13" w:type="even"/>
          <w:pgSz w:w="11910" w:h="16840"/>
          <w:pgMar w:top="567" w:right="1134" w:bottom="1134" w:left="1418" w:header="1429" w:footer="851" w:gutter="0"/>
          <w:pgNumType w:fmt="upperRoman" w:start="1"/>
          <w:cols w:space="720" w:num="1"/>
          <w:titlePg/>
          <w:docGrid w:linePitch="299" w:charSpace="0"/>
        </w:sectPr>
      </w:pPr>
    </w:p>
    <w:p w14:paraId="2EE8A74A">
      <w:pPr>
        <w:rPr>
          <w:rFonts w:hint="eastAsia" w:ascii="黑体" w:hAnsi="黑体" w:eastAsia="黑体" w:cs="黑体"/>
          <w:sz w:val="32"/>
          <w:szCs w:val="32"/>
        </w:rPr>
      </w:pPr>
    </w:p>
    <w:p w14:paraId="2E6695BB">
      <w:pPr>
        <w:rPr>
          <w:rFonts w:hint="eastAsia" w:ascii="黑体" w:hAnsi="黑体" w:eastAsia="黑体" w:cs="黑体"/>
          <w:sz w:val="32"/>
          <w:szCs w:val="32"/>
        </w:rPr>
        <w:sectPr>
          <w:footerReference r:id="rId15" w:type="first"/>
          <w:pgSz w:w="11910" w:h="16840"/>
          <w:pgMar w:top="567" w:right="1134" w:bottom="1134" w:left="1418" w:header="1429" w:footer="851" w:gutter="0"/>
          <w:pgNumType w:fmt="upperRoman" w:start="1"/>
          <w:cols w:space="720" w:num="1"/>
          <w:titlePg/>
          <w:docGrid w:linePitch="299" w:charSpace="0"/>
        </w:sectPr>
      </w:pPr>
    </w:p>
    <w:p w14:paraId="308AE43A">
      <w:pPr>
        <w:tabs>
          <w:tab w:val="left" w:pos="1134"/>
        </w:tabs>
        <w:spacing w:before="640" w:after="560" w:line="460" w:lineRule="exact"/>
        <w:jc w:val="center"/>
        <w:rPr>
          <w:rFonts w:hint="eastAsia" w:ascii="黑体" w:hAnsi="黑体" w:eastAsia="黑体" w:cs="黑体"/>
          <w:bCs/>
          <w:sz w:val="32"/>
          <w:szCs w:val="32"/>
        </w:rPr>
      </w:pPr>
      <w:bookmarkStart w:id="3" w:name="_Hlk198023093"/>
      <w:r>
        <w:rPr>
          <w:rFonts w:hint="eastAsia" w:ascii="黑体" w:hAnsi="Times New Roman" w:eastAsia="黑体" w:cs="Times New Roman"/>
          <w:sz w:val="32"/>
          <w:szCs w:val="20"/>
        </w:rPr>
        <w:t>浦东新区中小学食堂“六T”实务现场管理达标（示范）</w:t>
      </w:r>
      <w:bookmarkEnd w:id="3"/>
      <w:r>
        <w:rPr>
          <w:rFonts w:hint="eastAsia" w:ascii="黑体" w:hAnsi="Times New Roman" w:eastAsia="黑体" w:cs="Times New Roman"/>
          <w:sz w:val="32"/>
          <w:szCs w:val="20"/>
        </w:rPr>
        <w:t>建设规范</w:t>
      </w:r>
    </w:p>
    <w:p w14:paraId="5B624EE0">
      <w:pPr>
        <w:pStyle w:val="37"/>
        <w:adjustRightInd w:val="0"/>
        <w:snapToGrid w:val="0"/>
        <w:spacing w:before="240" w:beforeLines="100" w:after="240" w:afterLines="100"/>
      </w:pPr>
      <w:r>
        <w:rPr>
          <w:rFonts w:hint="eastAsia"/>
        </w:rPr>
        <w:t xml:space="preserve"> </w:t>
      </w:r>
      <w:bookmarkStart w:id="4" w:name="_Toc198641755"/>
      <w:r>
        <w:rPr>
          <w:rFonts w:hint="eastAsia"/>
        </w:rPr>
        <w:t>范围</w:t>
      </w:r>
      <w:bookmarkEnd w:id="4"/>
    </w:p>
    <w:p w14:paraId="6578BDFD">
      <w:pPr>
        <w:autoSpaceDE/>
        <w:autoSpaceDN/>
        <w:spacing w:line="320" w:lineRule="exact"/>
        <w:ind w:firstLine="420" w:firstLineChars="200"/>
        <w:jc w:val="both"/>
        <w:rPr>
          <w:rFonts w:hint="eastAsia"/>
          <w:kern w:val="2"/>
          <w:sz w:val="21"/>
          <w:szCs w:val="24"/>
        </w:rPr>
      </w:pPr>
      <w:bookmarkStart w:id="5" w:name="_Hlk160023434"/>
      <w:r>
        <w:rPr>
          <w:rFonts w:hint="eastAsia"/>
          <w:kern w:val="2"/>
          <w:sz w:val="21"/>
          <w:szCs w:val="24"/>
        </w:rPr>
        <w:t>本文件规定了浦东新区</w:t>
      </w:r>
      <w:bookmarkStart w:id="6" w:name="_Hlk198026064"/>
      <w:r>
        <w:rPr>
          <w:rFonts w:hint="eastAsia"/>
          <w:kern w:val="2"/>
          <w:sz w:val="21"/>
          <w:szCs w:val="24"/>
        </w:rPr>
        <w:t>中小学食堂“六T”实务现场管理</w:t>
      </w:r>
      <w:bookmarkEnd w:id="6"/>
      <w:r>
        <w:rPr>
          <w:rFonts w:hint="eastAsia"/>
          <w:kern w:val="2"/>
          <w:sz w:val="21"/>
          <w:szCs w:val="24"/>
        </w:rPr>
        <w:t>达标（示范）的</w:t>
      </w:r>
      <w:r>
        <w:rPr>
          <w:rFonts w:hint="eastAsia"/>
          <w:color w:val="FF0000"/>
          <w:kern w:val="2"/>
          <w:sz w:val="21"/>
          <w:szCs w:val="24"/>
        </w:rPr>
        <w:t>基本要求、内涵要点、规范标准</w:t>
      </w:r>
      <w:r>
        <w:rPr>
          <w:rFonts w:hint="eastAsia"/>
          <w:kern w:val="2"/>
          <w:sz w:val="21"/>
          <w:szCs w:val="24"/>
        </w:rPr>
        <w:t>等内容。</w:t>
      </w:r>
    </w:p>
    <w:bookmarkEnd w:id="5"/>
    <w:p w14:paraId="641D9236">
      <w:pPr>
        <w:autoSpaceDE/>
        <w:autoSpaceDN/>
        <w:spacing w:line="320" w:lineRule="exact"/>
        <w:ind w:firstLine="420" w:firstLineChars="200"/>
        <w:jc w:val="both"/>
        <w:rPr>
          <w:rFonts w:hint="eastAsia"/>
          <w:kern w:val="2"/>
          <w:sz w:val="21"/>
          <w:szCs w:val="24"/>
        </w:rPr>
      </w:pPr>
      <w:r>
        <w:rPr>
          <w:rFonts w:hint="eastAsia"/>
          <w:kern w:val="2"/>
          <w:sz w:val="21"/>
          <w:szCs w:val="24"/>
        </w:rPr>
        <w:t>本文件适用于浦东新区行政区域内中小学食堂的“六T”实务现场管理达标（示范）建设的规范要求。</w:t>
      </w:r>
    </w:p>
    <w:p w14:paraId="5D7F12C2">
      <w:pPr>
        <w:pStyle w:val="37"/>
        <w:adjustRightInd w:val="0"/>
        <w:snapToGrid w:val="0"/>
        <w:spacing w:before="240" w:beforeLines="100" w:after="240" w:afterLines="100"/>
      </w:pPr>
      <w:r>
        <w:rPr>
          <w:rFonts w:hint="eastAsia"/>
        </w:rPr>
        <w:t xml:space="preserve"> </w:t>
      </w:r>
      <w:bookmarkStart w:id="7" w:name="_Toc198641756"/>
      <w:r>
        <w:rPr>
          <w:rFonts w:hint="eastAsia"/>
        </w:rPr>
        <w:t>规范性引用文件</w:t>
      </w:r>
      <w:bookmarkEnd w:id="7"/>
    </w:p>
    <w:p w14:paraId="6EFF80F4">
      <w:pPr>
        <w:spacing w:line="320" w:lineRule="exact"/>
        <w:ind w:firstLine="420" w:firstLineChars="200"/>
        <w:rPr>
          <w:rFonts w:hint="eastAsia"/>
          <w:sz w:val="21"/>
          <w:szCs w:val="21"/>
        </w:rPr>
      </w:pPr>
      <w:bookmarkStart w:id="8" w:name="_Hlk154048014"/>
      <w:r>
        <w:rPr>
          <w:rFonts w:hint="eastAsia"/>
          <w:sz w:val="21"/>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5B0300BB">
      <w:pPr>
        <w:spacing w:line="320" w:lineRule="exact"/>
        <w:ind w:firstLine="420" w:firstLineChars="200"/>
        <w:rPr>
          <w:rFonts w:hint="eastAsia"/>
          <w:sz w:val="21"/>
          <w:szCs w:val="21"/>
        </w:rPr>
      </w:pPr>
      <w:r>
        <w:rPr>
          <w:sz w:val="21"/>
          <w:szCs w:val="21"/>
        </w:rPr>
        <w:t xml:space="preserve">GB </w:t>
      </w:r>
      <w:r>
        <w:rPr>
          <w:rFonts w:hint="eastAsia"/>
          <w:sz w:val="21"/>
          <w:szCs w:val="21"/>
        </w:rPr>
        <w:t xml:space="preserve">31654  </w:t>
      </w:r>
      <w:r>
        <w:rPr>
          <w:sz w:val="21"/>
          <w:szCs w:val="21"/>
        </w:rPr>
        <w:t xml:space="preserve">食品安全国家标准 </w:t>
      </w:r>
      <w:r>
        <w:rPr>
          <w:rFonts w:hint="eastAsia"/>
          <w:sz w:val="21"/>
          <w:szCs w:val="21"/>
        </w:rPr>
        <w:t>餐饮服务通用卫生规范</w:t>
      </w:r>
    </w:p>
    <w:p w14:paraId="1D3FFBF3">
      <w:pPr>
        <w:spacing w:line="320" w:lineRule="exact"/>
        <w:ind w:firstLine="420" w:firstLineChars="200"/>
        <w:rPr>
          <w:rFonts w:hint="eastAsia"/>
          <w:sz w:val="21"/>
          <w:szCs w:val="21"/>
        </w:rPr>
      </w:pPr>
      <w:r>
        <w:rPr>
          <w:rFonts w:hint="eastAsia"/>
          <w:sz w:val="21"/>
          <w:szCs w:val="21"/>
        </w:rPr>
        <w:t>GB/T 29315 中华人民共和国国家标准 中小学、幼儿园安全防范要求</w:t>
      </w:r>
    </w:p>
    <w:p w14:paraId="3AB14FFA">
      <w:pPr>
        <w:spacing w:line="320" w:lineRule="exact"/>
        <w:ind w:firstLine="420" w:firstLineChars="200"/>
        <w:rPr>
          <w:rFonts w:hint="eastAsia"/>
          <w:sz w:val="21"/>
          <w:szCs w:val="21"/>
        </w:rPr>
      </w:pPr>
      <w:r>
        <w:rPr>
          <w:rFonts w:hint="eastAsia"/>
          <w:sz w:val="21"/>
          <w:szCs w:val="21"/>
        </w:rPr>
        <w:t>《餐饮服务食品安全操作规范》</w:t>
      </w:r>
    </w:p>
    <w:p w14:paraId="3F55F439">
      <w:pPr>
        <w:spacing w:line="320" w:lineRule="exact"/>
        <w:ind w:firstLine="420" w:firstLineChars="200"/>
        <w:rPr>
          <w:rFonts w:hint="eastAsia"/>
          <w:sz w:val="21"/>
          <w:szCs w:val="21"/>
        </w:rPr>
      </w:pPr>
      <w:r>
        <w:rPr>
          <w:rFonts w:hint="eastAsia"/>
          <w:sz w:val="21"/>
          <w:szCs w:val="21"/>
        </w:rPr>
        <w:t>《中小学校园食品安全和膳食经费管理工作指引》</w:t>
      </w:r>
    </w:p>
    <w:p w14:paraId="5F8716B5">
      <w:pPr>
        <w:spacing w:line="320" w:lineRule="exact"/>
        <w:ind w:firstLine="420" w:firstLineChars="200"/>
        <w:rPr>
          <w:rFonts w:hint="eastAsia"/>
          <w:sz w:val="21"/>
          <w:szCs w:val="21"/>
        </w:rPr>
      </w:pPr>
      <w:r>
        <w:rPr>
          <w:rFonts w:hint="eastAsia"/>
          <w:sz w:val="21"/>
          <w:szCs w:val="21"/>
        </w:rPr>
        <w:t>《集中用餐单位落实食品安全主体责任监督管理规定》</w:t>
      </w:r>
    </w:p>
    <w:bookmarkEnd w:id="8"/>
    <w:p w14:paraId="5C7EFC16">
      <w:pPr>
        <w:pStyle w:val="37"/>
        <w:adjustRightInd w:val="0"/>
        <w:snapToGrid w:val="0"/>
        <w:spacing w:before="240" w:beforeLines="100" w:after="240" w:afterLines="100"/>
      </w:pPr>
      <w:bookmarkStart w:id="9" w:name="_Toc198641757"/>
      <w:r>
        <w:rPr>
          <w:rFonts w:hint="eastAsia"/>
        </w:rPr>
        <w:t>术语和定义</w:t>
      </w:r>
      <w:bookmarkEnd w:id="9"/>
    </w:p>
    <w:p w14:paraId="0E99CC22">
      <w:pPr>
        <w:pStyle w:val="5"/>
        <w:rPr>
          <w:rFonts w:hint="eastAsia"/>
        </w:rPr>
      </w:pPr>
      <w:r>
        <w:t>下列术语和定义适用于本</w:t>
      </w:r>
      <w:r>
        <w:rPr>
          <w:rFonts w:hint="eastAsia"/>
        </w:rPr>
        <w:t>文件</w:t>
      </w:r>
      <w:r>
        <w:t>。</w:t>
      </w:r>
    </w:p>
    <w:p w14:paraId="3D38FCA8">
      <w:pPr>
        <w:pStyle w:val="24"/>
        <w:numPr>
          <w:ilvl w:val="1"/>
          <w:numId w:val="4"/>
        </w:numPr>
        <w:rPr>
          <w:rFonts w:hint="eastAsia"/>
        </w:rPr>
      </w:pPr>
    </w:p>
    <w:p w14:paraId="4E419DBC">
      <w:pPr>
        <w:pStyle w:val="40"/>
        <w:spacing w:before="120" w:after="120"/>
        <w:ind w:firstLine="420" w:firstLineChars="200"/>
        <w:outlineLvl w:val="9"/>
        <w:rPr>
          <w:rFonts w:hint="eastAsia" w:hAnsi="黑体" w:cs="黑体"/>
        </w:rPr>
      </w:pPr>
      <w:r>
        <w:rPr>
          <w:rFonts w:hint="eastAsia" w:hAnsi="黑体" w:cs="黑体"/>
        </w:rPr>
        <w:t>中小学</w:t>
      </w:r>
    </w:p>
    <w:p w14:paraId="464D13EE">
      <w:pPr>
        <w:pStyle w:val="5"/>
        <w:rPr>
          <w:rFonts w:hint="eastAsia"/>
        </w:rPr>
      </w:pPr>
      <w:r>
        <w:rPr>
          <w:rFonts w:hint="eastAsia"/>
        </w:rPr>
        <w:t>经行政主管部门核准，对儿童青少年实施初、中等教育的场所。注：包括小学、初级中学、高级中学、中等职业学校、技工学校等。</w:t>
      </w:r>
    </w:p>
    <w:p w14:paraId="16027B1D">
      <w:pPr>
        <w:pStyle w:val="24"/>
        <w:numPr>
          <w:ilvl w:val="1"/>
          <w:numId w:val="4"/>
        </w:numPr>
        <w:rPr>
          <w:rFonts w:hint="eastAsia"/>
        </w:rPr>
      </w:pPr>
    </w:p>
    <w:p w14:paraId="7839BF5B">
      <w:pPr>
        <w:pStyle w:val="40"/>
        <w:spacing w:before="120" w:after="120"/>
        <w:ind w:firstLine="420" w:firstLineChars="200"/>
        <w:outlineLvl w:val="9"/>
      </w:pPr>
      <w:r>
        <w:rPr>
          <w:rFonts w:hint="eastAsia"/>
        </w:rPr>
        <w:t>“六T”实务现场管理</w:t>
      </w:r>
    </w:p>
    <w:p w14:paraId="5A6EEC42">
      <w:pPr>
        <w:pStyle w:val="40"/>
        <w:spacing w:before="120" w:after="120"/>
        <w:ind w:firstLine="400" w:firstLineChars="200"/>
        <w:outlineLvl w:val="9"/>
        <w:rPr>
          <w:rFonts w:hint="eastAsia" w:ascii="宋体" w:hAnsi="宋体" w:eastAsia="宋体" w:cs="宋体"/>
          <w:color w:val="FF0000"/>
          <w:spacing w:val="-5"/>
        </w:rPr>
      </w:pPr>
      <w:r>
        <w:rPr>
          <w:rFonts w:hint="eastAsia" w:ascii="宋体" w:hAnsi="宋体" w:eastAsia="宋体" w:cs="宋体"/>
          <w:color w:val="FF0000"/>
          <w:spacing w:val="-5"/>
        </w:rPr>
        <w:t>食品安全现场标准化管理体系，“六T”即“六个天天”：天天处理、天天整合、天天清扫、天天规范、天天检查、天天改进。</w:t>
      </w:r>
    </w:p>
    <w:p w14:paraId="6C6A96E3">
      <w:pPr>
        <w:pStyle w:val="24"/>
        <w:numPr>
          <w:ilvl w:val="1"/>
          <w:numId w:val="4"/>
        </w:numPr>
        <w:rPr>
          <w:rFonts w:hint="eastAsia"/>
        </w:rPr>
      </w:pPr>
    </w:p>
    <w:p w14:paraId="502B666B">
      <w:pPr>
        <w:pStyle w:val="40"/>
        <w:spacing w:before="120" w:after="120"/>
        <w:ind w:firstLine="420" w:firstLineChars="200"/>
        <w:outlineLvl w:val="9"/>
      </w:pPr>
      <w:r>
        <w:rPr>
          <w:rFonts w:hint="eastAsia"/>
        </w:rPr>
        <w:t>天天处理</w:t>
      </w:r>
    </w:p>
    <w:p w14:paraId="2C04FCB3">
      <w:pPr>
        <w:pStyle w:val="40"/>
        <w:spacing w:before="120" w:after="120"/>
        <w:ind w:firstLine="400" w:firstLineChars="200"/>
        <w:outlineLvl w:val="9"/>
        <w:rPr>
          <w:rFonts w:hint="eastAsia" w:ascii="宋体" w:hAnsi="宋体" w:eastAsia="宋体"/>
        </w:rPr>
      </w:pPr>
      <w:r>
        <w:rPr>
          <w:rFonts w:hint="eastAsia" w:ascii="宋体" w:hAnsi="宋体" w:eastAsia="宋体" w:cs="宋体"/>
          <w:spacing w:val="-5"/>
        </w:rPr>
        <w:t>清除工作现场非必需品，并将必需品的数量降低到最低量，根据其用量，进行分类管理。</w:t>
      </w:r>
    </w:p>
    <w:p w14:paraId="565F3319">
      <w:pPr>
        <w:pStyle w:val="24"/>
        <w:numPr>
          <w:ilvl w:val="1"/>
          <w:numId w:val="4"/>
        </w:numPr>
        <w:rPr>
          <w:rFonts w:hint="eastAsia"/>
        </w:rPr>
      </w:pPr>
    </w:p>
    <w:p w14:paraId="1D381848">
      <w:pPr>
        <w:pStyle w:val="40"/>
        <w:spacing w:before="120" w:after="120"/>
        <w:ind w:firstLine="420" w:firstLineChars="200"/>
        <w:outlineLvl w:val="9"/>
      </w:pPr>
      <w:r>
        <w:rPr>
          <w:rFonts w:hint="eastAsia"/>
        </w:rPr>
        <w:t>天天整合</w:t>
      </w:r>
    </w:p>
    <w:p w14:paraId="0C083F9A">
      <w:pPr>
        <w:pStyle w:val="40"/>
        <w:spacing w:before="120" w:after="120"/>
        <w:ind w:firstLine="400" w:firstLineChars="200"/>
        <w:outlineLvl w:val="9"/>
        <w:rPr>
          <w:rFonts w:hint="eastAsia" w:ascii="宋体" w:hAnsi="宋体" w:eastAsia="宋体"/>
        </w:rPr>
      </w:pPr>
      <w:r>
        <w:rPr>
          <w:rFonts w:hint="eastAsia" w:ascii="宋体" w:hAnsi="宋体" w:eastAsia="宋体" w:cs="宋体"/>
          <w:spacing w:val="-5"/>
        </w:rPr>
        <w:t>将必需品整合到存放点分类集中放置，有容器，有物品名称，有标准，有数量，有先进先出标识指引，便于拿取和回放。</w:t>
      </w:r>
    </w:p>
    <w:p w14:paraId="337CA853">
      <w:pPr>
        <w:pStyle w:val="24"/>
        <w:numPr>
          <w:ilvl w:val="1"/>
          <w:numId w:val="4"/>
        </w:numPr>
        <w:rPr>
          <w:rFonts w:hint="eastAsia"/>
        </w:rPr>
      </w:pPr>
    </w:p>
    <w:p w14:paraId="50524687">
      <w:pPr>
        <w:pStyle w:val="40"/>
        <w:spacing w:before="120" w:after="120"/>
        <w:ind w:firstLine="412" w:firstLineChars="200"/>
        <w:outlineLvl w:val="9"/>
        <w:rPr>
          <w:spacing w:val="-2"/>
        </w:rPr>
      </w:pPr>
      <w:r>
        <w:rPr>
          <w:rFonts w:hint="eastAsia"/>
          <w:spacing w:val="-2"/>
        </w:rPr>
        <w:t>天天清扫</w:t>
      </w:r>
    </w:p>
    <w:p w14:paraId="7F6882BB">
      <w:pPr>
        <w:pStyle w:val="38"/>
        <w:rPr>
          <w:rFonts w:hint="eastAsia"/>
          <w:b/>
          <w:bCs/>
        </w:rPr>
      </w:pPr>
      <w:r>
        <w:rPr>
          <w:rFonts w:hint="eastAsia"/>
        </w:rPr>
        <w:t>清洁卫生分区域责任到人，按分工完成自己责任区的清扫。</w:t>
      </w:r>
    </w:p>
    <w:p w14:paraId="676C2A08">
      <w:pPr>
        <w:pStyle w:val="24"/>
        <w:numPr>
          <w:ilvl w:val="1"/>
          <w:numId w:val="4"/>
        </w:numPr>
        <w:rPr>
          <w:rFonts w:hint="eastAsia"/>
        </w:rPr>
      </w:pPr>
    </w:p>
    <w:p w14:paraId="3B95568A">
      <w:pPr>
        <w:pStyle w:val="40"/>
        <w:spacing w:before="120" w:after="120"/>
        <w:ind w:firstLine="420" w:firstLineChars="200"/>
        <w:outlineLvl w:val="9"/>
      </w:pPr>
      <w:r>
        <w:rPr>
          <w:rFonts w:hint="eastAsia"/>
        </w:rPr>
        <w:t>天天规范</w:t>
      </w:r>
    </w:p>
    <w:p w14:paraId="6B25B99B">
      <w:pPr>
        <w:pStyle w:val="40"/>
        <w:spacing w:beforeLines="0" w:afterLines="0" w:line="320" w:lineRule="exact"/>
        <w:ind w:firstLine="412" w:firstLineChars="200"/>
        <w:outlineLvl w:val="9"/>
        <w:rPr>
          <w:rFonts w:hint="eastAsia" w:ascii="宋体" w:hAnsi="宋体" w:eastAsia="宋体" w:cs="宋体"/>
          <w:color w:val="FF0000"/>
          <w:spacing w:val="-2"/>
        </w:rPr>
      </w:pPr>
      <w:r>
        <w:rPr>
          <w:rFonts w:hint="eastAsia" w:ascii="宋体" w:hAnsi="宋体" w:eastAsia="宋体" w:cs="宋体"/>
          <w:spacing w:val="-2"/>
        </w:rPr>
        <w:t>运用特定的颜色，透明的盛器，有量化刻度的器皿及简易的图文标识等管理方法，提高工作效率，实现食品存储规范化、标准化。</w:t>
      </w:r>
    </w:p>
    <w:p w14:paraId="214E6878">
      <w:pPr>
        <w:pStyle w:val="24"/>
        <w:numPr>
          <w:ilvl w:val="1"/>
          <w:numId w:val="4"/>
        </w:numPr>
        <w:rPr>
          <w:rFonts w:hint="eastAsia"/>
        </w:rPr>
      </w:pPr>
    </w:p>
    <w:p w14:paraId="580A927E">
      <w:pPr>
        <w:pStyle w:val="40"/>
        <w:spacing w:before="120" w:after="120"/>
        <w:ind w:firstLine="420" w:firstLineChars="200"/>
        <w:outlineLvl w:val="9"/>
        <w:rPr>
          <w:rFonts w:hint="eastAsia" w:hAnsi="黑体" w:cs="黑体"/>
        </w:rPr>
      </w:pPr>
      <w:r>
        <w:rPr>
          <w:rFonts w:hint="eastAsia" w:hAnsi="黑体" w:cs="黑体"/>
        </w:rPr>
        <w:t>天天检查</w:t>
      </w:r>
    </w:p>
    <w:p w14:paraId="28A2CFE1">
      <w:pPr>
        <w:pStyle w:val="5"/>
        <w:rPr>
          <w:rFonts w:hint="eastAsia"/>
        </w:rPr>
      </w:pPr>
      <w:r>
        <w:rPr>
          <w:rFonts w:hint="eastAsia"/>
        </w:rPr>
        <w:t>通过建立培训、检查、奖惩制度，要求员工每天下班前五分钟对照“六T”实务的内容，检查工作完成情况，养成遵守规章制度的习惯。</w:t>
      </w:r>
    </w:p>
    <w:p w14:paraId="090DB7FE">
      <w:pPr>
        <w:pStyle w:val="24"/>
        <w:numPr>
          <w:ilvl w:val="1"/>
          <w:numId w:val="4"/>
        </w:numPr>
        <w:rPr>
          <w:rFonts w:hint="eastAsia"/>
        </w:rPr>
      </w:pPr>
    </w:p>
    <w:p w14:paraId="6E584929">
      <w:pPr>
        <w:pStyle w:val="40"/>
        <w:spacing w:before="120" w:after="120"/>
        <w:ind w:firstLine="420" w:firstLineChars="200"/>
        <w:outlineLvl w:val="9"/>
        <w:rPr>
          <w:rFonts w:hint="eastAsia" w:hAnsi="黑体" w:cs="黑体"/>
        </w:rPr>
      </w:pPr>
      <w:r>
        <w:rPr>
          <w:rFonts w:hint="eastAsia" w:hAnsi="黑体" w:cs="黑体"/>
        </w:rPr>
        <w:t>天天改进</w:t>
      </w:r>
    </w:p>
    <w:p w14:paraId="4BFBAB72">
      <w:pPr>
        <w:pStyle w:val="5"/>
        <w:rPr>
          <w:rFonts w:hint="eastAsia"/>
        </w:rPr>
      </w:pPr>
      <w:r>
        <w:rPr>
          <w:rFonts w:hint="eastAsia"/>
        </w:rPr>
        <w:t>在天天检查的基础上，发现问题，持续改进，并通过及时总结提升努力目标。</w:t>
      </w:r>
    </w:p>
    <w:p w14:paraId="10ED1081">
      <w:pPr>
        <w:pStyle w:val="24"/>
        <w:numPr>
          <w:ilvl w:val="1"/>
          <w:numId w:val="4"/>
        </w:numPr>
        <w:rPr>
          <w:rFonts w:hint="eastAsia"/>
        </w:rPr>
      </w:pPr>
    </w:p>
    <w:p w14:paraId="719EE167">
      <w:pPr>
        <w:pStyle w:val="40"/>
        <w:spacing w:before="120" w:after="120"/>
        <w:ind w:firstLine="420" w:firstLineChars="200"/>
        <w:outlineLvl w:val="9"/>
        <w:rPr>
          <w:rFonts w:hint="eastAsia" w:hAnsi="黑体" w:cs="黑体"/>
        </w:rPr>
      </w:pPr>
      <w:r>
        <w:rPr>
          <w:rFonts w:hint="eastAsia" w:hAnsi="黑体" w:cs="黑体"/>
        </w:rPr>
        <w:t>达标食堂</w:t>
      </w:r>
    </w:p>
    <w:p w14:paraId="773A23A0">
      <w:pPr>
        <w:pStyle w:val="5"/>
        <w:rPr>
          <w:rFonts w:hint="eastAsia"/>
        </w:rPr>
      </w:pPr>
      <w:r>
        <w:rPr>
          <w:rFonts w:hint="eastAsia"/>
        </w:rPr>
        <w:t>中小学食堂“六T”实务现场管理评分85-94分的食堂。</w:t>
      </w:r>
    </w:p>
    <w:p w14:paraId="0C75B108">
      <w:pPr>
        <w:pStyle w:val="24"/>
        <w:numPr>
          <w:ilvl w:val="1"/>
          <w:numId w:val="4"/>
        </w:numPr>
        <w:rPr>
          <w:rFonts w:hint="eastAsia"/>
        </w:rPr>
      </w:pPr>
    </w:p>
    <w:p w14:paraId="1A1535C8">
      <w:pPr>
        <w:pStyle w:val="40"/>
        <w:spacing w:before="120" w:after="120"/>
        <w:ind w:firstLine="420" w:firstLineChars="200"/>
        <w:outlineLvl w:val="9"/>
        <w:rPr>
          <w:rFonts w:hint="eastAsia" w:hAnsi="黑体" w:cs="黑体"/>
        </w:rPr>
      </w:pPr>
      <w:r>
        <w:rPr>
          <w:rFonts w:hint="eastAsia" w:hAnsi="黑体" w:cs="黑体"/>
        </w:rPr>
        <w:t>示范食堂</w:t>
      </w:r>
    </w:p>
    <w:p w14:paraId="3ABD0423">
      <w:pPr>
        <w:pStyle w:val="5"/>
        <w:rPr>
          <w:rFonts w:hint="eastAsia"/>
        </w:rPr>
      </w:pPr>
      <w:r>
        <w:rPr>
          <w:rFonts w:hint="eastAsia"/>
        </w:rPr>
        <w:t>中小学食堂“六T”实务现场管理评分95-100分的食堂。</w:t>
      </w:r>
    </w:p>
    <w:p w14:paraId="00547B53">
      <w:pPr>
        <w:pStyle w:val="37"/>
        <w:adjustRightInd w:val="0"/>
        <w:snapToGrid w:val="0"/>
        <w:spacing w:before="240" w:beforeLines="100" w:after="240" w:afterLines="100"/>
      </w:pPr>
      <w:bookmarkStart w:id="10" w:name="_Hlk154048963"/>
      <w:r>
        <w:rPr>
          <w:rFonts w:hint="eastAsia"/>
        </w:rPr>
        <w:t xml:space="preserve"> </w:t>
      </w:r>
      <w:bookmarkStart w:id="11" w:name="_Toc198641758"/>
      <w:r>
        <w:rPr>
          <w:rFonts w:hint="eastAsia"/>
        </w:rPr>
        <w:t>基本要求</w:t>
      </w:r>
      <w:bookmarkEnd w:id="11"/>
    </w:p>
    <w:p w14:paraId="440BD301">
      <w:pPr>
        <w:pStyle w:val="24"/>
        <w:numPr>
          <w:ilvl w:val="1"/>
          <w:numId w:val="4"/>
        </w:numPr>
        <w:outlineLvl w:val="1"/>
        <w:rPr>
          <w:rFonts w:hint="eastAsia"/>
        </w:rPr>
      </w:pPr>
      <w:bookmarkStart w:id="12" w:name="_Toc198641759"/>
      <w:r>
        <w:rPr>
          <w:rFonts w:hint="eastAsia"/>
        </w:rPr>
        <w:t>组织要求</w:t>
      </w:r>
      <w:bookmarkEnd w:id="12"/>
    </w:p>
    <w:p w14:paraId="14AA9B85">
      <w:pPr>
        <w:spacing w:line="320" w:lineRule="exact"/>
        <w:ind w:firstLine="440" w:firstLineChars="200"/>
        <w:rPr>
          <w:rFonts w:hint="eastAsia"/>
        </w:rPr>
      </w:pPr>
      <w:r>
        <w:rPr>
          <w:rFonts w:hint="eastAsia"/>
        </w:rPr>
        <w:t>明确食品安全管理机构，建立由校领导、后勤部门负责人、财务部门负责人、教师代表、学生代表、家长代表等组成的食堂管理领导小组，每学期至少一次研究部署学校食品安全工作，梳理食品安全风险管控清单，组织开展食品安全监督检查和风险防范。</w:t>
      </w:r>
    </w:p>
    <w:p w14:paraId="701CEA1F">
      <w:pPr>
        <w:pStyle w:val="24"/>
        <w:numPr>
          <w:ilvl w:val="1"/>
          <w:numId w:val="4"/>
        </w:numPr>
        <w:outlineLvl w:val="1"/>
        <w:rPr>
          <w:rFonts w:hint="eastAsia"/>
        </w:rPr>
      </w:pPr>
      <w:bookmarkStart w:id="13" w:name="_Toc198641760"/>
      <w:r>
        <w:rPr>
          <w:rFonts w:hint="eastAsia"/>
        </w:rPr>
        <w:t>人员要求</w:t>
      </w:r>
      <w:bookmarkEnd w:id="13"/>
    </w:p>
    <w:p w14:paraId="204E98EE">
      <w:pPr>
        <w:pStyle w:val="24"/>
        <w:rPr>
          <w:rFonts w:hint="eastAsia"/>
        </w:rPr>
      </w:pPr>
      <w:r>
        <w:rPr>
          <w:rFonts w:hint="eastAsia"/>
        </w:rPr>
        <w:t xml:space="preserve">4.2.1 </w:t>
      </w:r>
      <w:r>
        <w:rPr>
          <w:rFonts w:hint="eastAsia" w:ascii="宋体" w:hAnsi="宋体" w:eastAsia="宋体"/>
          <w:sz w:val="22"/>
          <w:szCs w:val="22"/>
        </w:rPr>
        <w:t>校长应切实履行学校食品安全第一责任人责任。对本单位食堂的食品安全工作全面负责，建立落实食品安全主体责任的长效机制并推动有效运行。</w:t>
      </w:r>
    </w:p>
    <w:p w14:paraId="024DAB12">
      <w:pPr>
        <w:spacing w:line="320" w:lineRule="exact"/>
        <w:rPr>
          <w:rFonts w:hint="eastAsia"/>
        </w:rPr>
      </w:pPr>
      <w:r>
        <w:rPr>
          <w:rFonts w:hint="eastAsia" w:ascii="黑体" w:hAnsi="黑体" w:eastAsia="黑体"/>
          <w:sz w:val="21"/>
          <w:szCs w:val="21"/>
        </w:rPr>
        <w:t>4.2.2</w:t>
      </w:r>
      <w:r>
        <w:rPr>
          <w:rFonts w:hint="eastAsia"/>
        </w:rPr>
        <w:t xml:space="preserve"> 食品安全总监由负责食品安全工作的副校长或同等职位的领导担任。食品安全总监按照职责要求对校长负责，协助校长做好食品安全管理工作。</w:t>
      </w:r>
    </w:p>
    <w:p w14:paraId="78A88563">
      <w:pPr>
        <w:spacing w:line="320" w:lineRule="exact"/>
        <w:rPr>
          <w:rFonts w:hint="eastAsia"/>
        </w:rPr>
      </w:pPr>
      <w:r>
        <w:rPr>
          <w:rFonts w:hint="eastAsia" w:ascii="黑体" w:hAnsi="黑体" w:eastAsia="黑体"/>
          <w:sz w:val="21"/>
          <w:szCs w:val="21"/>
        </w:rPr>
        <w:t>4.2.3</w:t>
      </w:r>
      <w:r>
        <w:rPr>
          <w:rFonts w:hint="eastAsia"/>
        </w:rPr>
        <w:t xml:space="preserve"> 学校应按要求配备食品安全员。食品安全员依法开展食品安全管理工作，按照职责要求对食品安全总监负责。</w:t>
      </w:r>
    </w:p>
    <w:p w14:paraId="74121B7A">
      <w:pPr>
        <w:pStyle w:val="24"/>
        <w:numPr>
          <w:ilvl w:val="1"/>
          <w:numId w:val="4"/>
        </w:numPr>
        <w:outlineLvl w:val="1"/>
        <w:rPr>
          <w:rFonts w:hint="eastAsia"/>
        </w:rPr>
      </w:pPr>
      <w:bookmarkStart w:id="14" w:name="_Toc198641761"/>
      <w:r>
        <w:rPr>
          <w:rFonts w:hint="eastAsia"/>
        </w:rPr>
        <w:t>制度要求</w:t>
      </w:r>
      <w:bookmarkEnd w:id="14"/>
    </w:p>
    <w:p w14:paraId="75B51978">
      <w:pPr>
        <w:spacing w:line="320" w:lineRule="exact"/>
        <w:ind w:firstLine="440" w:firstLineChars="200"/>
        <w:rPr>
          <w:rFonts w:hint="eastAsia"/>
        </w:rPr>
      </w:pPr>
      <w:r>
        <w:rPr>
          <w:rFonts w:hint="eastAsia"/>
        </w:rPr>
        <w:t>建立并不断完善食材采购、进货查验、食品加工制作、食品添加剂使用管理、临期食品管理、食品留样、清洗消毒、餐厨废弃物处置、设备维修保养校验、环境检测、</w:t>
      </w:r>
      <w:r>
        <w:rPr>
          <w:rFonts w:hint="eastAsia"/>
          <w:color w:val="FF0000"/>
        </w:rPr>
        <w:t>剩菜管理记录、</w:t>
      </w:r>
      <w:r>
        <w:rPr>
          <w:rFonts w:hint="eastAsia"/>
        </w:rPr>
        <w:t>人员健康管理和培训考核、食品安全自查、食堂安全保卫、食品安全信息追溯、投诉举报处理等食品安全管理制度，并制定食品安全突发事件应急处置方案。每年至少开展一次制度自查，当国家食品安全法律、法规、规章、规范性文件和食品安全标准发生变化时，及时进行制度修订。</w:t>
      </w:r>
    </w:p>
    <w:p w14:paraId="3F9EFE10">
      <w:pPr>
        <w:pStyle w:val="24"/>
        <w:numPr>
          <w:ilvl w:val="1"/>
          <w:numId w:val="4"/>
        </w:numPr>
        <w:outlineLvl w:val="1"/>
        <w:rPr>
          <w:rFonts w:hint="eastAsia"/>
        </w:rPr>
      </w:pPr>
      <w:bookmarkStart w:id="15" w:name="_Toc198641762"/>
      <w:r>
        <w:rPr>
          <w:rFonts w:hint="eastAsia"/>
        </w:rPr>
        <w:t>设施设备要求</w:t>
      </w:r>
      <w:bookmarkEnd w:id="15"/>
    </w:p>
    <w:p w14:paraId="51859430">
      <w:pPr>
        <w:spacing w:line="320" w:lineRule="exact"/>
        <w:ind w:left="420"/>
        <w:rPr>
          <w:rFonts w:hint="eastAsia"/>
        </w:rPr>
      </w:pPr>
      <w:r>
        <w:rPr>
          <w:rFonts w:hint="eastAsia"/>
        </w:rPr>
        <w:t>应符合GB 31654的规定</w:t>
      </w:r>
    </w:p>
    <w:p w14:paraId="0C92D041">
      <w:pPr>
        <w:pStyle w:val="24"/>
        <w:numPr>
          <w:ilvl w:val="1"/>
          <w:numId w:val="4"/>
        </w:numPr>
        <w:outlineLvl w:val="1"/>
        <w:rPr>
          <w:rFonts w:hint="eastAsia"/>
        </w:rPr>
      </w:pPr>
      <w:bookmarkStart w:id="16" w:name="_Toc198641763"/>
      <w:r>
        <w:rPr>
          <w:rFonts w:hint="eastAsia"/>
        </w:rPr>
        <w:t>环境要求</w:t>
      </w:r>
      <w:bookmarkEnd w:id="16"/>
    </w:p>
    <w:p w14:paraId="774C06C8">
      <w:pPr>
        <w:spacing w:line="320" w:lineRule="exact"/>
        <w:ind w:left="420"/>
        <w:rPr>
          <w:rFonts w:hint="eastAsia"/>
        </w:rPr>
      </w:pPr>
      <w:r>
        <w:rPr>
          <w:rFonts w:hint="eastAsia"/>
        </w:rPr>
        <w:t>应符合GB 31654的规定</w:t>
      </w:r>
    </w:p>
    <w:p w14:paraId="3AAD1733">
      <w:pPr>
        <w:spacing w:line="320" w:lineRule="exact"/>
        <w:ind w:left="420"/>
        <w:rPr>
          <w:rFonts w:hint="eastAsia"/>
          <w:color w:val="FF0000"/>
        </w:rPr>
      </w:pPr>
      <w:r>
        <w:rPr>
          <w:rFonts w:hint="eastAsia"/>
          <w:color w:val="FF0000"/>
        </w:rPr>
        <w:t>标识清洗、规范、完整</w:t>
      </w:r>
    </w:p>
    <w:bookmarkEnd w:id="10"/>
    <w:p w14:paraId="1D5FD2C6">
      <w:pPr>
        <w:pStyle w:val="37"/>
        <w:adjustRightInd w:val="0"/>
        <w:snapToGrid w:val="0"/>
        <w:spacing w:before="240" w:beforeLines="100" w:after="240" w:afterLines="100"/>
      </w:pPr>
      <w:bookmarkStart w:id="17" w:name="_Toc198641764"/>
      <w:r>
        <w:rPr>
          <w:rFonts w:hint="eastAsia"/>
          <w:color w:val="FF0000"/>
        </w:rPr>
        <w:t>内涵要点</w:t>
      </w:r>
      <w:bookmarkEnd w:id="17"/>
    </w:p>
    <w:p w14:paraId="0025C835">
      <w:pPr>
        <w:pStyle w:val="24"/>
        <w:numPr>
          <w:ilvl w:val="1"/>
          <w:numId w:val="4"/>
        </w:numPr>
        <w:outlineLvl w:val="1"/>
        <w:rPr>
          <w:rFonts w:hint="eastAsia"/>
        </w:rPr>
      </w:pPr>
      <w:bookmarkStart w:id="18" w:name="_Toc198641765"/>
      <w:bookmarkStart w:id="19" w:name="_Hlk159932682"/>
      <w:r>
        <w:rPr>
          <w:rFonts w:hint="eastAsia"/>
        </w:rPr>
        <w:t>天天处理</w:t>
      </w:r>
      <w:bookmarkEnd w:id="18"/>
    </w:p>
    <w:p w14:paraId="3C2C69EB">
      <w:pPr>
        <w:pStyle w:val="24"/>
        <w:rPr>
          <w:rFonts w:hint="eastAsia"/>
        </w:rPr>
      </w:pPr>
      <w:r>
        <w:rPr>
          <w:rFonts w:hint="eastAsia"/>
        </w:rPr>
        <w:t xml:space="preserve">5.1.1 </w:t>
      </w:r>
    </w:p>
    <w:bookmarkEnd w:id="19"/>
    <w:p w14:paraId="0F7F9C5C">
      <w:pPr>
        <w:pStyle w:val="24"/>
        <w:numPr>
          <w:ilvl w:val="1"/>
          <w:numId w:val="4"/>
        </w:numPr>
        <w:outlineLvl w:val="1"/>
        <w:rPr>
          <w:rFonts w:hint="eastAsia"/>
        </w:rPr>
      </w:pPr>
      <w:bookmarkStart w:id="20" w:name="_Toc198641766"/>
      <w:r>
        <w:rPr>
          <w:rFonts w:hint="eastAsia"/>
        </w:rPr>
        <w:t>天天整合</w:t>
      </w:r>
      <w:bookmarkEnd w:id="20"/>
    </w:p>
    <w:p w14:paraId="0D8A4CB3">
      <w:pPr>
        <w:pStyle w:val="24"/>
        <w:rPr>
          <w:rFonts w:hint="eastAsia"/>
        </w:rPr>
      </w:pPr>
      <w:r>
        <w:rPr>
          <w:rFonts w:hint="eastAsia"/>
        </w:rPr>
        <w:t xml:space="preserve">5.2.1 </w:t>
      </w:r>
    </w:p>
    <w:p w14:paraId="2D9E206F">
      <w:pPr>
        <w:pStyle w:val="24"/>
        <w:numPr>
          <w:ilvl w:val="1"/>
          <w:numId w:val="4"/>
        </w:numPr>
        <w:outlineLvl w:val="1"/>
        <w:rPr>
          <w:rFonts w:hint="eastAsia"/>
        </w:rPr>
      </w:pPr>
      <w:bookmarkStart w:id="21" w:name="_Toc198641767"/>
      <w:r>
        <w:rPr>
          <w:rFonts w:hint="eastAsia"/>
        </w:rPr>
        <w:t>天天清扫</w:t>
      </w:r>
      <w:bookmarkEnd w:id="21"/>
    </w:p>
    <w:p w14:paraId="264EFFD8">
      <w:pPr>
        <w:pStyle w:val="24"/>
        <w:rPr>
          <w:rFonts w:hint="eastAsia"/>
        </w:rPr>
      </w:pPr>
      <w:r>
        <w:rPr>
          <w:rFonts w:hint="eastAsia"/>
        </w:rPr>
        <w:t xml:space="preserve">5.3.1 </w:t>
      </w:r>
    </w:p>
    <w:p w14:paraId="3FB9B9D1">
      <w:pPr>
        <w:pStyle w:val="24"/>
        <w:numPr>
          <w:ilvl w:val="1"/>
          <w:numId w:val="4"/>
        </w:numPr>
        <w:outlineLvl w:val="1"/>
        <w:rPr>
          <w:rFonts w:hint="eastAsia"/>
        </w:rPr>
      </w:pPr>
      <w:bookmarkStart w:id="22" w:name="_Toc198641768"/>
      <w:r>
        <w:rPr>
          <w:rFonts w:hint="eastAsia"/>
        </w:rPr>
        <w:t>天天规范</w:t>
      </w:r>
      <w:bookmarkEnd w:id="22"/>
    </w:p>
    <w:p w14:paraId="531A512E">
      <w:pPr>
        <w:pStyle w:val="24"/>
        <w:rPr>
          <w:rFonts w:hint="eastAsia"/>
        </w:rPr>
      </w:pPr>
      <w:r>
        <w:rPr>
          <w:rFonts w:hint="eastAsia"/>
        </w:rPr>
        <w:t xml:space="preserve">5.4.1 </w:t>
      </w:r>
    </w:p>
    <w:p w14:paraId="33A92BC7">
      <w:pPr>
        <w:pStyle w:val="24"/>
        <w:numPr>
          <w:ilvl w:val="1"/>
          <w:numId w:val="4"/>
        </w:numPr>
        <w:outlineLvl w:val="1"/>
        <w:rPr>
          <w:rFonts w:hint="eastAsia"/>
        </w:rPr>
      </w:pPr>
      <w:bookmarkStart w:id="23" w:name="_Toc198641769"/>
      <w:r>
        <w:rPr>
          <w:rFonts w:hint="eastAsia"/>
        </w:rPr>
        <w:t>天天检查</w:t>
      </w:r>
      <w:bookmarkEnd w:id="23"/>
    </w:p>
    <w:p w14:paraId="7C013181">
      <w:pPr>
        <w:pStyle w:val="24"/>
        <w:rPr>
          <w:rFonts w:hint="eastAsia"/>
        </w:rPr>
      </w:pPr>
      <w:r>
        <w:rPr>
          <w:rFonts w:hint="eastAsia"/>
        </w:rPr>
        <w:t xml:space="preserve">5.5.1 </w:t>
      </w:r>
    </w:p>
    <w:p w14:paraId="54D51540">
      <w:pPr>
        <w:pStyle w:val="24"/>
        <w:numPr>
          <w:ilvl w:val="1"/>
          <w:numId w:val="4"/>
        </w:numPr>
        <w:outlineLvl w:val="1"/>
        <w:rPr>
          <w:rFonts w:hint="eastAsia"/>
        </w:rPr>
      </w:pPr>
      <w:bookmarkStart w:id="24" w:name="_Toc198641770"/>
      <w:r>
        <w:rPr>
          <w:rFonts w:hint="eastAsia"/>
        </w:rPr>
        <w:t>天天改进</w:t>
      </w:r>
      <w:bookmarkEnd w:id="24"/>
    </w:p>
    <w:p w14:paraId="0D9D2DF7">
      <w:pPr>
        <w:pStyle w:val="24"/>
        <w:rPr>
          <w:rFonts w:hint="eastAsia"/>
        </w:rPr>
      </w:pPr>
      <w:r>
        <w:rPr>
          <w:rFonts w:hint="eastAsia"/>
        </w:rPr>
        <w:t xml:space="preserve">5.6.1 </w:t>
      </w:r>
    </w:p>
    <w:p w14:paraId="61F91DEB">
      <w:pPr>
        <w:pStyle w:val="37"/>
        <w:adjustRightInd w:val="0"/>
        <w:snapToGrid w:val="0"/>
        <w:spacing w:before="240" w:beforeLines="100" w:after="240" w:afterLines="100"/>
      </w:pPr>
      <w:bookmarkStart w:id="25" w:name="_Toc198641771"/>
      <w:r>
        <w:rPr>
          <w:rFonts w:hint="eastAsia"/>
        </w:rPr>
        <w:t>规范标准</w:t>
      </w:r>
      <w:bookmarkEnd w:id="25"/>
    </w:p>
    <w:p w14:paraId="2CFD9B43">
      <w:pPr>
        <w:pStyle w:val="24"/>
        <w:outlineLvl w:val="1"/>
        <w:rPr>
          <w:rFonts w:hint="eastAsia"/>
        </w:rPr>
      </w:pPr>
      <w:bookmarkStart w:id="26" w:name="_Toc198641772"/>
      <w:r>
        <w:rPr>
          <w:rFonts w:hint="eastAsia"/>
        </w:rPr>
        <w:t>6.1 个人卫生</w:t>
      </w:r>
      <w:bookmarkEnd w:id="26"/>
    </w:p>
    <w:p w14:paraId="183A197B">
      <w:pPr>
        <w:rPr>
          <w:rFonts w:hint="eastAsia"/>
        </w:rPr>
      </w:pPr>
      <w:r>
        <w:rPr>
          <w:rFonts w:hint="eastAsia" w:ascii="黑体" w:hAnsi="黑体" w:eastAsia="黑体"/>
        </w:rPr>
        <w:t>6.1.1</w:t>
      </w:r>
      <w:r>
        <w:rPr>
          <w:rFonts w:hint="eastAsia"/>
        </w:rPr>
        <w:t>从事切菜、配菜、烹任、传菜、餐用具清洗消毒等接触直接人口食品工作的人员应每年进行健康检查，取得健康证明后方可上岗。</w:t>
      </w:r>
    </w:p>
    <w:p w14:paraId="07F049BF">
      <w:pPr>
        <w:rPr>
          <w:rFonts w:hint="eastAsia"/>
        </w:rPr>
      </w:pPr>
      <w:r>
        <w:rPr>
          <w:rFonts w:hint="eastAsia" w:ascii="黑体" w:hAnsi="黑体" w:eastAsia="黑体"/>
        </w:rPr>
        <w:t>6.1.2</w:t>
      </w:r>
      <w:r>
        <w:rPr>
          <w:rFonts w:hint="eastAsia"/>
        </w:rPr>
        <w:t>患有霍乱、细菌性和阿米巴性痢疾、伤寒和副伤寒、病毒性肝炎(甲型、戊型)、活动性肺结核、化脓性或者渗出性皮肤病等国务院卫生行政部门规定的有碍食品安全疾病的人员，不应从事接触直接入口食品的工作。</w:t>
      </w:r>
    </w:p>
    <w:p w14:paraId="2849D17F">
      <w:pPr>
        <w:rPr>
          <w:rFonts w:hint="eastAsia"/>
        </w:rPr>
      </w:pPr>
      <w:r>
        <w:rPr>
          <w:rFonts w:hint="eastAsia" w:ascii="黑体" w:hAnsi="黑体" w:eastAsia="黑体"/>
        </w:rPr>
        <w:t xml:space="preserve">6.1.3 </w:t>
      </w:r>
      <w:r>
        <w:rPr>
          <w:rFonts w:hint="eastAsia"/>
        </w:rPr>
        <w:t>从业人员应接受晨检。有发热、呕吐、腹泻、皮肤伤口或感染、咽部炎症等有碍食品安全病症的人员，应主动向食品安全管理人员等报告并接触直接入口食品的工作，待查明原因并治愈后方可复岗。</w:t>
      </w:r>
    </w:p>
    <w:p w14:paraId="3DAF09B0">
      <w:pPr>
        <w:rPr>
          <w:rFonts w:hint="eastAsia"/>
        </w:rPr>
      </w:pPr>
      <w:r>
        <w:rPr>
          <w:rFonts w:hint="eastAsia" w:ascii="黑体" w:hAnsi="黑体" w:eastAsia="黑体"/>
        </w:rPr>
        <w:t xml:space="preserve">6.1.4 </w:t>
      </w:r>
      <w:r>
        <w:rPr>
          <w:rFonts w:hint="eastAsia"/>
        </w:rPr>
        <w:t>食品处理区内从业人员不应留长指甲、涂指甲油，不应化妆。工作时，佩戴的饰物不应外露：应戴清洁的工作帽，避免头发掉落污染食品。</w:t>
      </w:r>
    </w:p>
    <w:p w14:paraId="7F1379AE">
      <w:pPr>
        <w:rPr>
          <w:rFonts w:hint="eastAsia"/>
        </w:rPr>
      </w:pPr>
      <w:r>
        <w:rPr>
          <w:rFonts w:hint="eastAsia" w:ascii="黑体" w:hAnsi="黑体" w:eastAsia="黑体"/>
        </w:rPr>
        <w:t xml:space="preserve">6.1.5 </w:t>
      </w:r>
      <w:r>
        <w:rPr>
          <w:rFonts w:hint="eastAsia"/>
        </w:rPr>
        <w:t>专间和专用操作区内的从业人员操作时，应佩藏清洁的口罩。口罩应遮住口鼻。</w:t>
      </w:r>
    </w:p>
    <w:p w14:paraId="292FF2C3">
      <w:pPr>
        <w:rPr>
          <w:rFonts w:hint="eastAsia"/>
        </w:rPr>
      </w:pPr>
      <w:r>
        <w:rPr>
          <w:rFonts w:hint="eastAsia" w:ascii="黑体" w:hAnsi="黑体" w:eastAsia="黑体"/>
        </w:rPr>
        <w:t xml:space="preserve">6.1.6 </w:t>
      </w:r>
      <w:r>
        <w:rPr>
          <w:rFonts w:hint="eastAsia"/>
        </w:rPr>
        <w:t>从业人员个人用品应集中存放，存放位置应不影响食品安全。</w:t>
      </w:r>
    </w:p>
    <w:p w14:paraId="38AF30C9">
      <w:pPr>
        <w:rPr>
          <w:rFonts w:hint="eastAsia"/>
        </w:rPr>
      </w:pPr>
      <w:r>
        <w:rPr>
          <w:rFonts w:hint="eastAsia" w:ascii="黑体" w:hAnsi="黑体" w:eastAsia="黑体"/>
        </w:rPr>
        <w:t xml:space="preserve">6.1.7 </w:t>
      </w:r>
      <w:r>
        <w:rPr>
          <w:rFonts w:hint="eastAsia"/>
        </w:rPr>
        <w:t>从业人员加工食品前应洗净手部。从事接触直接入口食品工作的从业人员，加工食品前还应进行手部消毒。进入工作岗位前应当穿戴清洁的工作衣帽。</w:t>
      </w:r>
    </w:p>
    <w:p w14:paraId="2EFD1561">
      <w:pPr>
        <w:rPr>
          <w:rFonts w:hint="eastAsia"/>
        </w:rPr>
      </w:pPr>
      <w:r>
        <w:rPr>
          <w:rFonts w:hint="eastAsia" w:ascii="黑体" w:hAnsi="黑体" w:eastAsia="黑体"/>
        </w:rPr>
        <w:t xml:space="preserve">6.1.8 </w:t>
      </w:r>
      <w:r>
        <w:rPr>
          <w:rFonts w:hint="eastAsia"/>
        </w:rPr>
        <w:t>使用卫生间、接触可能污染食品的物品或者从事与食品加工无关的其他活动后，再次从事接触食品、食品容器、工具、设备等与餐饮服务相关的活动前应重新洗手，从事接触直接入口食品工作的还应重新消毒手部。</w:t>
      </w:r>
    </w:p>
    <w:p w14:paraId="2F80E1B5">
      <w:pPr>
        <w:rPr>
          <w:rFonts w:hint="eastAsia"/>
        </w:rPr>
      </w:pPr>
      <w:r>
        <w:rPr>
          <w:rFonts w:hint="eastAsia" w:ascii="黑体" w:hAnsi="黑体" w:eastAsia="黑体"/>
        </w:rPr>
        <w:t xml:space="preserve">6.1.9 </w:t>
      </w:r>
      <w:r>
        <w:rPr>
          <w:rFonts w:hint="eastAsia"/>
        </w:rPr>
        <w:t>从业人员专用洗手设施附近的显著位置还应标示简明易懂的洗手方法。</w:t>
      </w:r>
    </w:p>
    <w:p w14:paraId="7E5F9F70">
      <w:pPr>
        <w:pStyle w:val="24"/>
        <w:outlineLvl w:val="1"/>
        <w:rPr>
          <w:rFonts w:hint="eastAsia"/>
        </w:rPr>
      </w:pPr>
      <w:bookmarkStart w:id="27" w:name="_Toc198641773"/>
      <w:r>
        <w:rPr>
          <w:rFonts w:hint="eastAsia"/>
        </w:rPr>
        <w:t>6.2 场所环境</w:t>
      </w:r>
      <w:bookmarkEnd w:id="27"/>
    </w:p>
    <w:p w14:paraId="767C9A39">
      <w:pPr>
        <w:rPr>
          <w:rFonts w:hint="eastAsia" w:ascii="黑体" w:hAnsi="黑体" w:eastAsia="黑体"/>
        </w:rPr>
      </w:pPr>
      <w:r>
        <w:rPr>
          <w:rFonts w:hint="eastAsia" w:ascii="黑体" w:hAnsi="黑体" w:eastAsia="黑体"/>
        </w:rPr>
        <w:t xml:space="preserve">6.2.1 </w:t>
      </w:r>
      <w:r>
        <w:rPr>
          <w:rFonts w:hint="eastAsia"/>
        </w:rPr>
        <w:t>学校食堂应当根据所经营的食品品种、数量、供餐人数，配备相应的设施设备，并配备消毒、更衣、盥洗、采光、照明、通风、防腐、防尘、防蝇、防鼠、防虫、洗涤以及处理废水、存放垃圾和废弃物的设备或者设施。就餐区或者就餐区附近应当设置供用餐者清洗手部以及餐具、饮具的用水设施。</w:t>
      </w:r>
    </w:p>
    <w:p w14:paraId="3D8E8572">
      <w:pPr>
        <w:rPr>
          <w:rFonts w:hint="eastAsia"/>
        </w:rPr>
      </w:pPr>
      <w:r>
        <w:rPr>
          <w:rFonts w:hint="eastAsia" w:ascii="黑体" w:hAnsi="黑体" w:eastAsia="黑体"/>
        </w:rPr>
        <w:t xml:space="preserve">6.2.2 </w:t>
      </w:r>
      <w:r>
        <w:rPr>
          <w:rFonts w:hint="eastAsia"/>
        </w:rPr>
        <w:t>餐饮服务场所的墙壁、地板无缝隙，天花板修葺完整。所有管道（供水、排水、供热、燃气、空调等）与外界或天花板连接处应封闭，所有管、线穿越而产生的孔洞，选用水泥、不锈钢隔板、钢丝封堵材料、防火泥等封堵，孔洞填充牢固，无缝隙。使用水封式地漏。</w:t>
      </w:r>
    </w:p>
    <w:p w14:paraId="7CB0E2EC">
      <w:pPr>
        <w:rPr>
          <w:rFonts w:hint="eastAsia"/>
          <w:color w:val="FF0000"/>
        </w:rPr>
      </w:pPr>
      <w:r>
        <w:rPr>
          <w:rFonts w:hint="eastAsia" w:ascii="黑体" w:hAnsi="黑体" w:eastAsia="黑体"/>
        </w:rPr>
        <w:t xml:space="preserve">6.2.3 </w:t>
      </w:r>
      <w:r>
        <w:rPr>
          <w:rFonts w:hint="eastAsia"/>
          <w:color w:val="FF0000"/>
        </w:rPr>
        <w:t>餐饮服务场所、设施、设备应定期维护，出现问题及时维修或者更换。</w:t>
      </w:r>
    </w:p>
    <w:p w14:paraId="3375498C">
      <w:pPr>
        <w:rPr>
          <w:rFonts w:hint="eastAsia"/>
          <w:color w:val="FF0000"/>
        </w:rPr>
      </w:pPr>
      <w:r>
        <w:rPr>
          <w:rFonts w:hint="eastAsia" w:ascii="黑体" w:hAnsi="黑体" w:eastAsia="黑体"/>
        </w:rPr>
        <w:t xml:space="preserve">6.2.4 </w:t>
      </w:r>
      <w:r>
        <w:rPr>
          <w:rFonts w:hint="eastAsia"/>
          <w:color w:val="FF0000"/>
        </w:rPr>
        <w:t>餐饮服务场所、设施、设备应定期清洁，必要时消毒。</w:t>
      </w:r>
    </w:p>
    <w:p w14:paraId="2C6E4778">
      <w:pPr>
        <w:rPr>
          <w:rFonts w:hint="eastAsia"/>
        </w:rPr>
      </w:pPr>
      <w:r>
        <w:rPr>
          <w:rFonts w:hint="eastAsia" w:ascii="黑体" w:hAnsi="黑体" w:eastAsia="黑体"/>
        </w:rPr>
        <w:t xml:space="preserve">6.2.5 </w:t>
      </w:r>
      <w:r>
        <w:rPr>
          <w:rFonts w:hint="eastAsia"/>
        </w:rPr>
        <w:t>就餐场所卫生清洁，地面、墙壁、门窗、天花板等无霉斑、污垢、积油、积水等情形。</w:t>
      </w:r>
    </w:p>
    <w:p w14:paraId="78AC5D30">
      <w:pPr>
        <w:rPr>
          <w:rFonts w:hint="eastAsia"/>
        </w:rPr>
      </w:pPr>
      <w:r>
        <w:rPr>
          <w:rFonts w:hint="eastAsia" w:ascii="黑体" w:hAnsi="黑体" w:eastAsia="黑体"/>
        </w:rPr>
        <w:t xml:space="preserve">6.2.6 </w:t>
      </w:r>
      <w:r>
        <w:rPr>
          <w:rFonts w:hint="eastAsia"/>
        </w:rPr>
        <w:t>定期清洁食品处理区设施、设备。保持地面无垃圾、无积水、无油渍，墙壁和门窗无污渍、无灰尘，天花板无霉斑、无灰尘。</w:t>
      </w:r>
    </w:p>
    <w:p w14:paraId="35747EDA">
      <w:pPr>
        <w:rPr>
          <w:rFonts w:hint="eastAsia"/>
        </w:rPr>
      </w:pPr>
      <w:r>
        <w:rPr>
          <w:rFonts w:hint="eastAsia" w:ascii="黑体" w:hAnsi="黑体" w:eastAsia="黑体"/>
        </w:rPr>
        <w:t xml:space="preserve">6.2.7 </w:t>
      </w:r>
      <w:r>
        <w:rPr>
          <w:rFonts w:hint="eastAsia"/>
        </w:rPr>
        <w:t>有害生物防制应遵循物理防治（粘鼠板、灭蝇灯等）优先，化学防治（滞留喷洒等）有条件使用的原则。化学药剂应存放在专门设施内，保障食品安全和人身安全。</w:t>
      </w:r>
    </w:p>
    <w:p w14:paraId="51335214">
      <w:pPr>
        <w:pStyle w:val="24"/>
        <w:outlineLvl w:val="1"/>
        <w:rPr>
          <w:rFonts w:hint="eastAsia"/>
        </w:rPr>
      </w:pPr>
      <w:bookmarkStart w:id="28" w:name="_Toc198641774"/>
      <w:r>
        <w:rPr>
          <w:rFonts w:hint="eastAsia"/>
        </w:rPr>
        <w:t>6.3 仓库管理</w:t>
      </w:r>
      <w:bookmarkEnd w:id="28"/>
    </w:p>
    <w:p w14:paraId="2936D9A9">
      <w:pPr>
        <w:rPr>
          <w:rFonts w:hint="eastAsia"/>
        </w:rPr>
      </w:pPr>
      <w:r>
        <w:rPr>
          <w:rFonts w:hint="eastAsia" w:ascii="黑体" w:hAnsi="黑体" w:eastAsia="黑体"/>
        </w:rPr>
        <w:t xml:space="preserve">6.3.1 </w:t>
      </w:r>
      <w:r>
        <w:rPr>
          <w:rFonts w:hint="eastAsia"/>
        </w:rPr>
        <w:t>学校食堂应当建立食品、食品添加剂和食品相关产品进货查验记录制度，如实准确记录名称、规格、数量、生产日期或者生产批号、保质期、进货日期以及供货者名称、地址、联系方式等内容，并保留载有上述信息的相关凭证。进货查验记录和相关凭证的保存期限不少于产品保质期满后6个月；无明确保质期的，保存期限不少于2年。</w:t>
      </w:r>
    </w:p>
    <w:p w14:paraId="4CD66AFA">
      <w:pPr>
        <w:rPr>
          <w:rFonts w:hint="eastAsia"/>
        </w:rPr>
      </w:pPr>
      <w:r>
        <w:rPr>
          <w:rFonts w:hint="eastAsia" w:ascii="黑体" w:hAnsi="黑体" w:eastAsia="黑体"/>
        </w:rPr>
        <w:t xml:space="preserve">6.3.2 </w:t>
      </w:r>
      <w:r>
        <w:rPr>
          <w:rFonts w:hint="eastAsia"/>
        </w:rPr>
        <w:t>学校食堂采购食品及原料，应当按照相关要求查验许可相关文件，并留存加盖公章（或者签字）的复印件或者其他凭证。</w:t>
      </w:r>
    </w:p>
    <w:p w14:paraId="49E8EFE9">
      <w:pPr>
        <w:rPr>
          <w:rFonts w:hint="eastAsia" w:ascii="黑体" w:hAnsi="黑体" w:eastAsia="黑体"/>
        </w:rPr>
      </w:pPr>
      <w:r>
        <w:rPr>
          <w:rFonts w:hint="eastAsia" w:ascii="黑体" w:hAnsi="黑体" w:eastAsia="黑体"/>
        </w:rPr>
        <w:t xml:space="preserve">6.3.3 </w:t>
      </w:r>
      <w:r>
        <w:rPr>
          <w:rFonts w:hint="eastAsia"/>
        </w:rPr>
        <w:t>散装食品（食用农产品除外）应在贮存位置上标明食品名称、生产日期或生产批号、使用期限等信息。宜使用密闭容器贮存。</w:t>
      </w:r>
    </w:p>
    <w:p w14:paraId="38E09DC9">
      <w:pPr>
        <w:rPr>
          <w:rFonts w:hint="eastAsia" w:ascii="黑体" w:hAnsi="黑体" w:eastAsia="黑体"/>
        </w:rPr>
      </w:pPr>
      <w:r>
        <w:rPr>
          <w:rFonts w:hint="eastAsia" w:ascii="黑体" w:hAnsi="黑体" w:eastAsia="黑体"/>
        </w:rPr>
        <w:t xml:space="preserve">6.3.4 </w:t>
      </w:r>
      <w:r>
        <w:rPr>
          <w:rFonts w:hint="eastAsia"/>
        </w:rPr>
        <w:t>同一库房内贮存不同类别食品和非食品（如食品包装材料等），应分设存放区域，不同区域有明显的区分标识。</w:t>
      </w:r>
    </w:p>
    <w:p w14:paraId="6B2B4FC3">
      <w:pPr>
        <w:rPr>
          <w:rFonts w:hint="eastAsia"/>
        </w:rPr>
      </w:pPr>
      <w:r>
        <w:rPr>
          <w:rFonts w:hint="eastAsia" w:ascii="黑体" w:hAnsi="黑体" w:eastAsia="黑体"/>
        </w:rPr>
        <w:t xml:space="preserve">6.3.5 </w:t>
      </w:r>
      <w:r>
        <w:rPr>
          <w:rFonts w:hint="eastAsia"/>
        </w:rPr>
        <w:t>学校食堂应当按照保证食品安全的要求贮存食品，做到通风换气、分区分架分类、离墙离地存放、防蝇防鼠防虫设施完好，并定期检查库存，及时清理变质或者超过保质期的食品。贮存的食品和物品离墙、离地，距离墙壁和地面均应在10c以上。</w:t>
      </w:r>
    </w:p>
    <w:p w14:paraId="53261A45">
      <w:pPr>
        <w:rPr>
          <w:rFonts w:hint="eastAsia"/>
        </w:rPr>
      </w:pPr>
      <w:r>
        <w:rPr>
          <w:rFonts w:hint="eastAsia" w:ascii="黑体" w:hAnsi="黑体" w:eastAsia="黑体"/>
        </w:rPr>
        <w:t xml:space="preserve">6.3.6 </w:t>
      </w:r>
      <w:r>
        <w:rPr>
          <w:rFonts w:hint="eastAsia"/>
        </w:rPr>
        <w:t>按照先进、先出、先用的原则，使用食品原料、食品添加剂和食品相关产品。存在感官性状异常、超过保质期等情形的，应及时清理。</w:t>
      </w:r>
    </w:p>
    <w:p w14:paraId="65871BC9">
      <w:pPr>
        <w:rPr>
          <w:rFonts w:hint="eastAsia" w:ascii="黑体" w:hAnsi="黑体" w:eastAsia="黑体"/>
        </w:rPr>
      </w:pPr>
      <w:r>
        <w:rPr>
          <w:rFonts w:hint="eastAsia" w:ascii="黑体" w:hAnsi="黑体" w:eastAsia="黑体"/>
        </w:rPr>
        <w:t xml:space="preserve">6.3.7 </w:t>
      </w:r>
      <w:r>
        <w:rPr>
          <w:rFonts w:hint="eastAsia"/>
        </w:rPr>
        <w:t>变质、超过保质期或者回收的食品应显著标示或者单独存放在有明确标志的场所，及时采取无害化处理、销毁等措施，并按规定记录。</w:t>
      </w:r>
    </w:p>
    <w:p w14:paraId="1C11FDAA">
      <w:pPr>
        <w:pStyle w:val="24"/>
        <w:outlineLvl w:val="1"/>
        <w:rPr>
          <w:rFonts w:hint="eastAsia"/>
        </w:rPr>
      </w:pPr>
      <w:bookmarkStart w:id="29" w:name="_Toc198641775"/>
      <w:r>
        <w:rPr>
          <w:rFonts w:hint="eastAsia"/>
        </w:rPr>
        <w:t>6.4 冰箱（库）管理</w:t>
      </w:r>
      <w:bookmarkEnd w:id="29"/>
    </w:p>
    <w:p w14:paraId="793D2DD5">
      <w:pPr>
        <w:rPr>
          <w:rFonts w:hint="eastAsia"/>
        </w:rPr>
      </w:pPr>
      <w:r>
        <w:rPr>
          <w:rFonts w:hint="eastAsia" w:ascii="黑体" w:hAnsi="黑体" w:eastAsia="黑体"/>
        </w:rPr>
        <w:t xml:space="preserve">6.4.1 </w:t>
      </w:r>
      <w:r>
        <w:rPr>
          <w:rFonts w:hint="eastAsia"/>
        </w:rPr>
        <w:t>对每餐次加工制作的每种食品成品进行留样，按品种分别盛放于清洗消毒后的专用密闭容器内。每个品种留样量不少于125克，由专用留样冰箱冷藏(0℃~8℃)保存48小时以上，并有留样记录。留样冰箱“双人双锁”，专人负责留样管理。</w:t>
      </w:r>
    </w:p>
    <w:p w14:paraId="44FB8202">
      <w:pPr>
        <w:rPr>
          <w:rFonts w:hint="eastAsia"/>
        </w:rPr>
      </w:pPr>
      <w:r>
        <w:rPr>
          <w:rFonts w:hint="eastAsia" w:ascii="黑体" w:hAnsi="黑体" w:eastAsia="黑体"/>
        </w:rPr>
        <w:t xml:space="preserve">6.4.2 </w:t>
      </w:r>
      <w:r>
        <w:rPr>
          <w:rFonts w:hint="eastAsia"/>
        </w:rPr>
        <w:t>冷冻贮存食品前宜分割食品，避免使用时反复解冻、冷冻。冷冻（藏）贮存食品时不宜堆积、挤压食品。</w:t>
      </w:r>
    </w:p>
    <w:p w14:paraId="4BB24657">
      <w:pPr>
        <w:rPr>
          <w:rFonts w:hint="eastAsia"/>
        </w:rPr>
      </w:pPr>
      <w:r>
        <w:rPr>
          <w:rFonts w:hint="eastAsia" w:ascii="黑体" w:hAnsi="黑体" w:eastAsia="黑体"/>
        </w:rPr>
        <w:t xml:space="preserve">6.4.3 </w:t>
      </w:r>
      <w:r>
        <w:rPr>
          <w:rFonts w:hint="eastAsia"/>
        </w:rPr>
        <w:t>冷藏（冻）设施正常运转，配备温度显示装置，确保贮存条件。</w:t>
      </w:r>
    </w:p>
    <w:p w14:paraId="3B1444BB">
      <w:pPr>
        <w:pStyle w:val="24"/>
        <w:outlineLvl w:val="1"/>
        <w:rPr>
          <w:rFonts w:hint="eastAsia"/>
        </w:rPr>
      </w:pPr>
      <w:bookmarkStart w:id="30" w:name="_Toc198641776"/>
      <w:r>
        <w:rPr>
          <w:rFonts w:hint="eastAsia"/>
        </w:rPr>
        <w:t>6.5 加工制作</w:t>
      </w:r>
      <w:bookmarkEnd w:id="30"/>
    </w:p>
    <w:p w14:paraId="0F9BE0C2">
      <w:pPr>
        <w:rPr>
          <w:rFonts w:hint="eastAsia"/>
        </w:rPr>
      </w:pPr>
      <w:r>
        <w:rPr>
          <w:rFonts w:hint="eastAsia" w:ascii="黑体" w:hAnsi="黑体" w:eastAsia="黑体"/>
        </w:rPr>
        <w:t>6.5.1</w:t>
      </w:r>
      <w:r>
        <w:rPr>
          <w:rFonts w:hint="eastAsia"/>
        </w:rPr>
        <w:t xml:space="preserve"> 食堂不得制售冷荤类食品、生食类食品、裱花蛋糕，不得加工制作四季豆、鲜黄花菜、野生蘑菇、发芽土豆等高风险食品。</w:t>
      </w:r>
    </w:p>
    <w:p w14:paraId="6A679593">
      <w:pPr>
        <w:rPr>
          <w:rFonts w:hint="eastAsia"/>
        </w:rPr>
      </w:pPr>
      <w:r>
        <w:rPr>
          <w:rFonts w:hint="eastAsia" w:ascii="黑体" w:hAnsi="黑体" w:eastAsia="黑体"/>
        </w:rPr>
        <w:t xml:space="preserve">6.5.2 </w:t>
      </w:r>
      <w:r>
        <w:rPr>
          <w:rFonts w:hint="eastAsia"/>
        </w:rPr>
        <w:t>食堂用于加工动物性食品原料、植物性食品原料、水产品原料、半成品或者成品等的容器、工具应当从形状、材质、颜色、标识上明显区分，做到份开使用，固定存放，用后洗净并保持清洁。</w:t>
      </w:r>
    </w:p>
    <w:p w14:paraId="57F7235A">
      <w:pPr>
        <w:rPr>
          <w:rFonts w:hint="eastAsia"/>
        </w:rPr>
      </w:pPr>
      <w:r>
        <w:rPr>
          <w:rFonts w:hint="eastAsia" w:ascii="黑体" w:hAnsi="黑体" w:eastAsia="黑体"/>
        </w:rPr>
        <w:t xml:space="preserve">6.5.3 </w:t>
      </w:r>
      <w:r>
        <w:rPr>
          <w:rFonts w:hint="eastAsia"/>
        </w:rPr>
        <w:t>需要烧熟煮透的食品，加工时食品的中心温度应达到70℃以上：加工时食品的中心温度低于70℃的，应严格控制原料质量安全或者采取其他措施（如延长烹任时间等），确保食品安全。</w:t>
      </w:r>
    </w:p>
    <w:p w14:paraId="201B1A84">
      <w:pPr>
        <w:pStyle w:val="24"/>
        <w:outlineLvl w:val="1"/>
        <w:rPr>
          <w:rFonts w:hint="eastAsia"/>
        </w:rPr>
      </w:pPr>
      <w:bookmarkStart w:id="31" w:name="_Toc198641777"/>
      <w:r>
        <w:rPr>
          <w:rFonts w:hint="eastAsia"/>
        </w:rPr>
        <w:t>6.6 专间操作</w:t>
      </w:r>
      <w:bookmarkEnd w:id="31"/>
    </w:p>
    <w:p w14:paraId="4AD504CE">
      <w:pPr>
        <w:rPr>
          <w:rFonts w:hint="eastAsia"/>
        </w:rPr>
      </w:pPr>
      <w:r>
        <w:rPr>
          <w:rFonts w:hint="eastAsia" w:ascii="黑体" w:hAnsi="黑体" w:eastAsia="黑体"/>
        </w:rPr>
        <w:t xml:space="preserve">6.6.1 </w:t>
      </w:r>
      <w:r>
        <w:rPr>
          <w:rFonts w:hint="eastAsia"/>
        </w:rPr>
        <w:t>各专间、专用操作区应有明显的标识，标明其用途。</w:t>
      </w:r>
    </w:p>
    <w:p w14:paraId="51F63031">
      <w:pPr>
        <w:rPr>
          <w:rFonts w:hint="eastAsia"/>
        </w:rPr>
      </w:pPr>
      <w:r>
        <w:rPr>
          <w:rFonts w:hint="eastAsia" w:ascii="黑体" w:hAnsi="黑体" w:eastAsia="黑体"/>
        </w:rPr>
        <w:t xml:space="preserve">6.6.2 </w:t>
      </w:r>
      <w:r>
        <w:rPr>
          <w:rFonts w:hint="eastAsia"/>
        </w:rPr>
        <w:t>专间和专用操作区使用的食品容器、工具、设备和清洁工具应专用。食品容器、工具使用前应清洗消毒并保持清洁。</w:t>
      </w:r>
    </w:p>
    <w:p w14:paraId="664A3705">
      <w:pPr>
        <w:rPr>
          <w:rFonts w:hint="eastAsia"/>
        </w:rPr>
      </w:pPr>
      <w:r>
        <w:rPr>
          <w:rFonts w:hint="eastAsia" w:ascii="黑体" w:hAnsi="黑体" w:eastAsia="黑体"/>
        </w:rPr>
        <w:t xml:space="preserve">6.6.3 </w:t>
      </w:r>
      <w:r>
        <w:rPr>
          <w:rFonts w:hint="eastAsia"/>
        </w:rPr>
        <w:t>专间和专用操作区内的从业人员操作时应佩戴清洁的口罩、手套、工作帽等。</w:t>
      </w:r>
    </w:p>
    <w:p w14:paraId="109C5A20">
      <w:pPr>
        <w:rPr>
          <w:rFonts w:hint="eastAsia" w:ascii="黑体" w:hAnsi="黑体" w:eastAsia="黑体"/>
        </w:rPr>
      </w:pPr>
      <w:r>
        <w:rPr>
          <w:rFonts w:hint="eastAsia" w:ascii="黑体" w:hAnsi="黑体" w:eastAsia="黑体"/>
        </w:rPr>
        <w:t xml:space="preserve">6.6.4 </w:t>
      </w:r>
      <w:r>
        <w:rPr>
          <w:rFonts w:hint="eastAsia"/>
        </w:rPr>
        <w:t>进人专间和存放在专用操作区的食品应为直接入口食品，应避免受到存放在专间和专用操作区的非食品的污染。</w:t>
      </w:r>
    </w:p>
    <w:p w14:paraId="75A58DC1">
      <w:pPr>
        <w:rPr>
          <w:rFonts w:hint="eastAsia"/>
        </w:rPr>
      </w:pPr>
      <w:r>
        <w:rPr>
          <w:rFonts w:hint="eastAsia" w:ascii="黑体" w:hAnsi="黑体" w:eastAsia="黑体"/>
        </w:rPr>
        <w:t xml:space="preserve">6.6.5 </w:t>
      </w:r>
      <w:r>
        <w:rPr>
          <w:rFonts w:hint="eastAsia"/>
        </w:rPr>
        <w:t>不应在专间或者专用操作区内从事应在其他食品处理区进行或者可能污染食品的活动。</w:t>
      </w:r>
    </w:p>
    <w:p w14:paraId="49715FF3">
      <w:pPr>
        <w:rPr>
          <w:rFonts w:hint="eastAsia"/>
        </w:rPr>
      </w:pPr>
      <w:r>
        <w:rPr>
          <w:rFonts w:hint="eastAsia" w:ascii="黑体" w:hAnsi="黑体" w:eastAsia="黑体"/>
        </w:rPr>
        <w:t xml:space="preserve">6.6.6 </w:t>
      </w:r>
      <w:r>
        <w:rPr>
          <w:rFonts w:hint="eastAsia"/>
        </w:rPr>
        <w:t>专间内温度不得高于 25℃。</w:t>
      </w:r>
    </w:p>
    <w:p w14:paraId="653E10D2">
      <w:pPr>
        <w:rPr>
          <w:rFonts w:hint="eastAsia" w:ascii="黑体" w:hAnsi="黑体" w:eastAsia="黑体"/>
        </w:rPr>
      </w:pPr>
      <w:r>
        <w:rPr>
          <w:rFonts w:hint="eastAsia" w:ascii="黑体" w:hAnsi="黑体" w:eastAsia="黑体"/>
        </w:rPr>
        <w:t xml:space="preserve">6.6.7 </w:t>
      </w:r>
      <w:r>
        <w:rPr>
          <w:rFonts w:hint="eastAsia"/>
        </w:rPr>
        <w:t>及时关闭专间的门和食品传递窗口。</w:t>
      </w:r>
    </w:p>
    <w:p w14:paraId="69263E48">
      <w:pPr>
        <w:pStyle w:val="24"/>
        <w:outlineLvl w:val="1"/>
        <w:rPr>
          <w:rFonts w:hint="eastAsia"/>
        </w:rPr>
      </w:pPr>
      <w:bookmarkStart w:id="32" w:name="_Toc198641778"/>
      <w:r>
        <w:rPr>
          <w:rFonts w:hint="eastAsia"/>
        </w:rPr>
        <w:t>6.7 规范存放</w:t>
      </w:r>
      <w:bookmarkEnd w:id="32"/>
    </w:p>
    <w:p w14:paraId="7B303C20">
      <w:pPr>
        <w:rPr>
          <w:rFonts w:hint="eastAsia" w:ascii="黑体" w:hAnsi="黑体" w:eastAsia="黑体"/>
        </w:rPr>
      </w:pPr>
      <w:r>
        <w:rPr>
          <w:rFonts w:hint="eastAsia" w:ascii="黑体" w:hAnsi="黑体" w:eastAsia="黑体"/>
        </w:rPr>
        <w:t xml:space="preserve">6.7.1 </w:t>
      </w:r>
      <w:r>
        <w:rPr>
          <w:rFonts w:hint="eastAsia"/>
        </w:rPr>
        <w:t>盛放调味料的容器应保持清洁，使用后加盖存放，宜标注预包装调味料标签上标注的生产日期、保质期等内容及开封日期。</w:t>
      </w:r>
    </w:p>
    <w:p w14:paraId="047F8E04">
      <w:pPr>
        <w:pStyle w:val="24"/>
        <w:outlineLvl w:val="1"/>
        <w:rPr>
          <w:rFonts w:hint="eastAsia"/>
        </w:rPr>
      </w:pPr>
      <w:bookmarkStart w:id="33" w:name="_Toc198641779"/>
      <w:r>
        <w:rPr>
          <w:rFonts w:hint="eastAsia"/>
        </w:rPr>
        <w:t>6.8 安全卫生</w:t>
      </w:r>
      <w:bookmarkEnd w:id="33"/>
    </w:p>
    <w:p w14:paraId="2C77E2A1">
      <w:pPr>
        <w:rPr>
          <w:rFonts w:hint="eastAsia"/>
        </w:rPr>
      </w:pPr>
      <w:r>
        <w:rPr>
          <w:rFonts w:hint="eastAsia" w:ascii="黑体" w:hAnsi="黑体" w:eastAsia="黑体"/>
        </w:rPr>
        <w:t xml:space="preserve">6.8.1 </w:t>
      </w:r>
      <w:r>
        <w:rPr>
          <w:rFonts w:hint="eastAsia"/>
        </w:rPr>
        <w:t>餐厨废弃物应及时清除，不应溢出废弃物存放设施。废弃物存放设施应及时清洁，必要时消毒。废弃物处置应当符合法律、法规、规章的要求。</w:t>
      </w:r>
    </w:p>
    <w:p w14:paraId="7988CED2">
      <w:pPr>
        <w:rPr>
          <w:rFonts w:hint="eastAsia"/>
        </w:rPr>
      </w:pPr>
      <w:r>
        <w:rPr>
          <w:rFonts w:hint="eastAsia" w:ascii="黑体" w:hAnsi="黑体" w:eastAsia="黑体"/>
        </w:rPr>
        <w:t xml:space="preserve">6.8.2 </w:t>
      </w:r>
      <w:r>
        <w:rPr>
          <w:rFonts w:hint="eastAsia"/>
        </w:rPr>
        <w:t>食堂操作间、配餐间、留样间、储藏室、就餐区应设置视频监控装置，实时显示及回放图像应清晰显示人员活动情况。</w:t>
      </w:r>
    </w:p>
    <w:p w14:paraId="09B485A9">
      <w:pPr>
        <w:rPr>
          <w:rFonts w:hint="eastAsia"/>
          <w:color w:val="FF0000"/>
        </w:rPr>
      </w:pPr>
      <w:r>
        <w:rPr>
          <w:rFonts w:hint="eastAsia" w:ascii="黑体" w:hAnsi="黑体" w:eastAsia="黑体"/>
        </w:rPr>
        <w:t xml:space="preserve">6.8.3 </w:t>
      </w:r>
      <w:r>
        <w:rPr>
          <w:rFonts w:hint="eastAsia"/>
        </w:rPr>
        <w:t>厨房烟道应至少每季度清洗一次。</w:t>
      </w:r>
      <w:r>
        <w:rPr>
          <w:rFonts w:hint="eastAsia"/>
          <w:color w:val="FF0000"/>
        </w:rPr>
        <w:t>（《人员密集场所消防安全管理》）</w:t>
      </w:r>
    </w:p>
    <w:p w14:paraId="7D219D03">
      <w:pPr>
        <w:rPr>
          <w:rFonts w:hint="eastAsia" w:ascii="黑体" w:hAnsi="黑体" w:eastAsia="黑体"/>
        </w:rPr>
      </w:pPr>
      <w:r>
        <w:rPr>
          <w:rFonts w:hint="eastAsia" w:ascii="黑体" w:hAnsi="黑体" w:eastAsia="黑体"/>
        </w:rPr>
        <w:t xml:space="preserve">6.8.4 </w:t>
      </w:r>
      <w:r>
        <w:rPr>
          <w:rFonts w:hint="eastAsia"/>
        </w:rPr>
        <w:t>按照国家标准、行业标准配置消防设施、器材，设置消防安全标志，并定期组织检验、维修，确保完好有效。</w:t>
      </w:r>
    </w:p>
    <w:p w14:paraId="6CCD03CA">
      <w:pPr>
        <w:rPr>
          <w:rFonts w:hint="eastAsia"/>
          <w:color w:val="FF0000"/>
        </w:rPr>
      </w:pPr>
      <w:r>
        <w:rPr>
          <w:rFonts w:hint="eastAsia" w:ascii="黑体" w:hAnsi="黑体" w:eastAsia="黑体"/>
        </w:rPr>
        <w:t xml:space="preserve">6.8.5 </w:t>
      </w:r>
      <w:r>
        <w:rPr>
          <w:rFonts w:hint="eastAsia"/>
          <w:color w:val="FF0000"/>
        </w:rPr>
        <w:t>举办大型群众性活动，承办人应当依法向公安机关申请安全许可，制定灭火和应急疏散预案并组织演练，明确消防安全责任分工，确定消防安全管理人员，保持消防设施和消防器材配置齐全、完好有效，保证疏散通道、安全出口、疏散指示标志、应急照明和消防车通道符合消防技术标准和管理规定。（《中华人民共和国消防法》第二十条）</w:t>
      </w:r>
    </w:p>
    <w:p w14:paraId="7D89143B">
      <w:pPr>
        <w:rPr>
          <w:color w:val="FF0000"/>
        </w:rPr>
      </w:pPr>
      <w:r>
        <w:rPr>
          <w:rFonts w:hint="eastAsia" w:ascii="黑体" w:hAnsi="黑体" w:eastAsia="黑体"/>
        </w:rPr>
        <w:t xml:space="preserve">6.8.6 </w:t>
      </w:r>
      <w:r>
        <w:rPr>
          <w:rFonts w:hint="eastAsia"/>
        </w:rPr>
        <w:t>应加强食品处理区安全保卫管理，安装门禁系统，禁止非本食堂从业人员未经允许进入食品处理区。</w:t>
      </w:r>
      <w:r>
        <w:rPr>
          <w:rFonts w:hint="eastAsia"/>
          <w:color w:val="FF0000"/>
        </w:rPr>
        <w:t>（《中小学食堂管理服务规范》团标）</w:t>
      </w:r>
    </w:p>
    <w:p w14:paraId="2DF6CD47">
      <w:pPr>
        <w:rPr>
          <w:rFonts w:hint="eastAsia"/>
          <w:color w:val="FF0000"/>
        </w:rPr>
      </w:pPr>
      <w:r>
        <w:rPr>
          <w:rFonts w:hint="eastAsia" w:ascii="黑体" w:hAnsi="黑体" w:eastAsia="黑体"/>
        </w:rPr>
        <w:t xml:space="preserve">6.8.7 </w:t>
      </w:r>
      <w:r>
        <w:rPr>
          <w:rFonts w:hint="eastAsia"/>
        </w:rPr>
        <w:t>应选择持有合法、有效燃气经营许可证或燃气供应许可证的燃气供应单位供应燃气，并签订供用气合同。燃气报警探头、安全阀应每年检测一次；燃气报警探头使用三年需及时更换。</w:t>
      </w:r>
      <w:r>
        <w:rPr>
          <w:rFonts w:hint="eastAsia"/>
          <w:color w:val="FF0000"/>
        </w:rPr>
        <w:t>（《中小学食堂管理服务规范》团标）</w:t>
      </w:r>
    </w:p>
    <w:p w14:paraId="28F1CE15">
      <w:pPr>
        <w:rPr>
          <w:color w:val="FF0000"/>
        </w:rPr>
      </w:pPr>
      <w:r>
        <w:rPr>
          <w:rFonts w:hint="eastAsia" w:ascii="黑体" w:hAnsi="黑体" w:eastAsia="黑体"/>
        </w:rPr>
        <w:t xml:space="preserve">6.8.8 </w:t>
      </w:r>
      <w:r>
        <w:rPr>
          <w:rFonts w:hint="eastAsia"/>
        </w:rPr>
        <w:t>应加强对校外供餐的监督管理，通过“互联网+明厨亮灶”等网络视频方式，对供餐企业食品加工、贮存、配送等环节实施全程监督，及时发现并解决存在的问题隐患。</w:t>
      </w:r>
      <w:r>
        <w:rPr>
          <w:rFonts w:hint="eastAsia"/>
          <w:color w:val="FF0000"/>
        </w:rPr>
        <w:t>（《中小学食堂管理服务规范》团标）</w:t>
      </w:r>
    </w:p>
    <w:p w14:paraId="70F856EB">
      <w:pPr>
        <w:rPr>
          <w:rFonts w:hint="eastAsia"/>
          <w:color w:val="FF0000"/>
        </w:rPr>
      </w:pPr>
      <w:r>
        <w:rPr>
          <w:rFonts w:hint="eastAsia" w:ascii="黑体" w:hAnsi="黑体" w:eastAsia="黑体"/>
        </w:rPr>
        <w:t xml:space="preserve">6.8.9 </w:t>
      </w:r>
      <w:r>
        <w:rPr>
          <w:rFonts w:hint="eastAsia"/>
          <w:color w:val="FF0000"/>
        </w:rPr>
        <w:t>操作流程包含但不限于燃气安全操作流程、。。。</w:t>
      </w:r>
    </w:p>
    <w:p w14:paraId="0E3E16A7">
      <w:pPr>
        <w:pStyle w:val="24"/>
        <w:outlineLvl w:val="1"/>
        <w:rPr>
          <w:rFonts w:hint="eastAsia"/>
        </w:rPr>
      </w:pPr>
      <w:bookmarkStart w:id="34" w:name="_Toc198641780"/>
      <w:r>
        <w:rPr>
          <w:rFonts w:hint="eastAsia"/>
        </w:rPr>
        <w:t>6.9 清洗消毒</w:t>
      </w:r>
      <w:bookmarkEnd w:id="34"/>
    </w:p>
    <w:p w14:paraId="11B92D2E">
      <w:pPr>
        <w:rPr>
          <w:rFonts w:hint="eastAsia"/>
        </w:rPr>
      </w:pPr>
      <w:r>
        <w:rPr>
          <w:rFonts w:hint="eastAsia" w:ascii="黑体" w:hAnsi="黑体" w:eastAsia="黑体"/>
        </w:rPr>
        <w:t xml:space="preserve">6.9.1 </w:t>
      </w:r>
      <w:r>
        <w:rPr>
          <w:rFonts w:hint="eastAsia"/>
        </w:rPr>
        <w:t>采用物理消毒或化学消毒的设备应能正常运转，消毒温度和时间应符合相关要求，消毒液配制和浓度应严格按照规定执行。采用自动清洗消毒的应严格遵循使用说明操作。</w:t>
      </w:r>
    </w:p>
    <w:p w14:paraId="0D796EF3">
      <w:pPr>
        <w:rPr>
          <w:rFonts w:hint="eastAsia"/>
        </w:rPr>
      </w:pPr>
      <w:r>
        <w:rPr>
          <w:rFonts w:hint="eastAsia" w:ascii="黑体" w:hAnsi="黑体" w:eastAsia="黑体"/>
        </w:rPr>
        <w:t xml:space="preserve">6.9.2 </w:t>
      </w:r>
      <w:r>
        <w:rPr>
          <w:rFonts w:hint="eastAsia"/>
        </w:rPr>
        <w:t>餐饮具清洗设施和设备应与食品原料及清洁工具的清洗设施、设备分开，并有明显区分。</w:t>
      </w:r>
    </w:p>
    <w:p w14:paraId="12FC435E">
      <w:pPr>
        <w:rPr>
          <w:rFonts w:hint="eastAsia"/>
        </w:rPr>
      </w:pPr>
      <w:r>
        <w:rPr>
          <w:rFonts w:hint="eastAsia" w:ascii="黑体" w:hAnsi="黑体" w:eastAsia="黑体"/>
        </w:rPr>
        <w:t xml:space="preserve">6.9.3 </w:t>
      </w:r>
      <w:r>
        <w:rPr>
          <w:rFonts w:hint="eastAsia"/>
        </w:rPr>
        <w:t>消毒后的餐饮具、盛放或接触直接入口食品的容器和工具，应定位存放在清洁、专用、密闭的保洁设施中，并有明显区分标识。定期清洁保洁设施，防止清洗消毒后的餐饮具受到污染。</w:t>
      </w:r>
    </w:p>
    <w:p w14:paraId="7EF7C82D">
      <w:pPr>
        <w:rPr>
          <w:rFonts w:hint="eastAsia"/>
        </w:rPr>
      </w:pPr>
      <w:r>
        <w:rPr>
          <w:rFonts w:hint="eastAsia" w:ascii="黑体" w:hAnsi="黑体" w:eastAsia="黑体"/>
        </w:rPr>
        <w:t xml:space="preserve">6.9.4 </w:t>
      </w:r>
      <w:r>
        <w:rPr>
          <w:rFonts w:hint="eastAsia"/>
        </w:rPr>
        <w:t>每餐（或每次）使用专间前，应对专间空气进行消毒。消毒方法应遵循消毒设施使用说明书要求。使用紫外线灯消毒的，应在无人加工制作时开启紫外线灯 30 分钟以上并做好记录。</w:t>
      </w:r>
    </w:p>
    <w:p w14:paraId="1DB79984">
      <w:pPr>
        <w:rPr>
          <w:rFonts w:hint="eastAsia"/>
        </w:rPr>
      </w:pPr>
      <w:r>
        <w:rPr>
          <w:rFonts w:hint="eastAsia" w:ascii="黑体" w:hAnsi="黑体" w:eastAsia="黑体"/>
        </w:rPr>
        <w:t xml:space="preserve">6.9.5 </w:t>
      </w:r>
      <w:r>
        <w:rPr>
          <w:rFonts w:hint="eastAsia"/>
        </w:rPr>
        <w:t>食堂的餐具、饮具和盛放或者接触直接入口食品的容器、工具，使用前应当洗净、消毒。</w:t>
      </w:r>
    </w:p>
    <w:p w14:paraId="02C75971">
      <w:pPr>
        <w:pStyle w:val="24"/>
        <w:outlineLvl w:val="1"/>
        <w:rPr>
          <w:rFonts w:hint="eastAsia"/>
        </w:rPr>
      </w:pPr>
      <w:bookmarkStart w:id="35" w:name="_Toc198641781"/>
      <w:r>
        <w:rPr>
          <w:rFonts w:hint="eastAsia"/>
        </w:rPr>
        <w:t>6.10 台账记录</w:t>
      </w:r>
      <w:bookmarkEnd w:id="35"/>
    </w:p>
    <w:p w14:paraId="34BEF787">
      <w:pPr>
        <w:rPr>
          <w:rFonts w:hint="eastAsia" w:ascii="黑体" w:hAnsi="黑体" w:eastAsia="黑体"/>
        </w:rPr>
      </w:pPr>
      <w:r>
        <w:rPr>
          <w:rFonts w:hint="eastAsia" w:ascii="黑体" w:hAnsi="黑体" w:eastAsia="黑体"/>
        </w:rPr>
        <w:t xml:space="preserve">6.10.1 </w:t>
      </w:r>
      <w:r>
        <w:rPr>
          <w:rFonts w:hint="eastAsia"/>
        </w:rPr>
        <w:t>应在食堂就餐区等经营场所的醒目位置公示食品安全管理机构、食品经营许可证、日常监督检查结果、从业人员健康证明、食材进货来源、供伙食费收费标准、每周带量食谱、食材价格等信息，确保信息透明，方便公众监督。</w:t>
      </w:r>
    </w:p>
    <w:p w14:paraId="4FB03368">
      <w:pPr>
        <w:rPr>
          <w:rFonts w:hint="eastAsia"/>
          <w:color w:val="FF0000"/>
        </w:rPr>
      </w:pPr>
      <w:r>
        <w:rPr>
          <w:rFonts w:hint="eastAsia" w:ascii="黑体" w:hAnsi="黑体" w:eastAsia="黑体"/>
        </w:rPr>
        <w:t xml:space="preserve">6.10.2 </w:t>
      </w:r>
      <w:r>
        <w:rPr>
          <w:rFonts w:hint="eastAsia"/>
        </w:rPr>
        <w:t>食品添加剂的使用应符合GB 2760的规定，并应满足《餐饮服务食品安全操作规范》的要求，使用时应准确称量，应记录食品名称、食品数量、加工时间，使用的食品添加剂名称、生产日期或批号、使用量、使用人等信息。</w:t>
      </w:r>
      <w:r>
        <w:rPr>
          <w:rFonts w:hint="eastAsia"/>
          <w:color w:val="FF0000"/>
        </w:rPr>
        <w:t>（《中小学食堂管理服务规范》）</w:t>
      </w:r>
    </w:p>
    <w:p w14:paraId="034FA292">
      <w:pPr>
        <w:rPr>
          <w:rFonts w:hint="eastAsia"/>
        </w:rPr>
      </w:pPr>
      <w:r>
        <w:rPr>
          <w:rFonts w:hint="eastAsia" w:ascii="黑体" w:hAnsi="黑体" w:eastAsia="黑体"/>
        </w:rPr>
        <w:t xml:space="preserve">6.10.3 </w:t>
      </w:r>
      <w:r>
        <w:rPr>
          <w:rFonts w:hint="eastAsia"/>
        </w:rPr>
        <w:t>建立基于食品安全风险防控的动态管理机制，结合各自实际，落实自查要求，制定《食品安全风险管控清单》，建立健全日管控、周排查、月调度工作制度和机制。</w:t>
      </w:r>
    </w:p>
    <w:p w14:paraId="1EBCBE6A">
      <w:pPr>
        <w:rPr>
          <w:rFonts w:hint="eastAsia"/>
        </w:rPr>
      </w:pPr>
      <w:r>
        <w:rPr>
          <w:rFonts w:hint="eastAsia" w:ascii="黑体" w:hAnsi="黑体" w:eastAsia="黑体"/>
        </w:rPr>
        <w:t xml:space="preserve">6.10.4 </w:t>
      </w:r>
      <w:r>
        <w:rPr>
          <w:rFonts w:hint="eastAsia"/>
          <w:color w:val="FF0000"/>
        </w:rPr>
        <w:t>组织对本单位员工进行食品安全知识培训，对食品安全总监、食品安全员进行法律、法规、规章、标准和专业知识培训、考核，并对培训、考核情况予以记录，存档备查。食品安全总监、食品安全员每年参加培训时间不少于40小时。</w:t>
      </w:r>
    </w:p>
    <w:p w14:paraId="21D61436">
      <w:pPr>
        <w:rPr>
          <w:rFonts w:hint="eastAsia"/>
        </w:rPr>
      </w:pPr>
    </w:p>
    <w:p w14:paraId="0D3CA7E0">
      <w:pPr>
        <w:pStyle w:val="37"/>
        <w:adjustRightInd w:val="0"/>
        <w:snapToGrid w:val="0"/>
        <w:spacing w:before="240" w:beforeLines="100" w:after="240" w:afterLines="100"/>
        <w:ind w:left="0" w:firstLine="0"/>
        <w:rPr>
          <w:rFonts w:hint="eastAsia" w:asciiTheme="majorEastAsia" w:hAnsiTheme="majorEastAsia" w:eastAsiaTheme="majorEastAsia"/>
        </w:rPr>
        <w:sectPr>
          <w:headerReference r:id="rId18" w:type="first"/>
          <w:footerReference r:id="rId21" w:type="first"/>
          <w:headerReference r:id="rId16" w:type="default"/>
          <w:footerReference r:id="rId19" w:type="default"/>
          <w:headerReference r:id="rId17" w:type="even"/>
          <w:footerReference r:id="rId20" w:type="even"/>
          <w:pgSz w:w="11910" w:h="16840"/>
          <w:pgMar w:top="1417" w:right="1134" w:bottom="1417" w:left="1418" w:header="1429" w:footer="851" w:gutter="0"/>
          <w:pgNumType w:start="1"/>
          <w:cols w:space="720" w:num="1"/>
          <w:titlePg/>
          <w:docGrid w:linePitch="299" w:charSpace="0"/>
        </w:sectPr>
      </w:pPr>
    </w:p>
    <w:p w14:paraId="6B010188">
      <w:pPr>
        <w:pStyle w:val="2"/>
        <w:rPr>
          <w:rFonts w:hint="eastAsia" w:cs="Times New Roman"/>
          <w:sz w:val="21"/>
          <w:szCs w:val="21"/>
        </w:rPr>
      </w:pPr>
      <w:bookmarkStart w:id="36" w:name="_Toc198641782"/>
      <w:r>
        <w:rPr>
          <w:rFonts w:hint="eastAsia" w:cs="Times New Roman"/>
          <w:sz w:val="21"/>
          <w:szCs w:val="21"/>
        </w:rPr>
        <w:t>2附录 A</w:t>
      </w:r>
      <w:r>
        <w:rPr>
          <w:rFonts w:cs="Times New Roman"/>
          <w:sz w:val="21"/>
          <w:szCs w:val="21"/>
        </w:rPr>
        <w:br w:type="textWrapping"/>
      </w:r>
      <w:r>
        <w:rPr>
          <w:rFonts w:hint="eastAsia" w:cs="Times New Roman"/>
          <w:sz w:val="21"/>
          <w:szCs w:val="21"/>
        </w:rPr>
        <w:t>（规范性）</w:t>
      </w:r>
      <w:bookmarkEnd w:id="36"/>
    </w:p>
    <w:p w14:paraId="20A4B159">
      <w:pPr>
        <w:jc w:val="center"/>
        <w:rPr>
          <w:rFonts w:hint="eastAsia" w:cs="Times New Roman"/>
          <w:b/>
          <w:bCs/>
          <w:sz w:val="21"/>
          <w:szCs w:val="21"/>
        </w:rPr>
      </w:pPr>
      <w:r>
        <w:rPr>
          <w:rFonts w:hint="eastAsia" w:ascii="黑体" w:hAnsi="黑体" w:eastAsia="黑体" w:cs="Times New Roman"/>
          <w:sz w:val="21"/>
          <w:szCs w:val="21"/>
        </w:rPr>
        <w:t>上海市中小学食堂“六T”实务现场管理检查评估内容和评分标准</w:t>
      </w:r>
      <w:r>
        <w:rPr>
          <w:rFonts w:hint="eastAsia" w:ascii="黑体" w:hAnsi="黑体" w:eastAsia="黑体" w:cs="Times New Roman"/>
          <w:color w:val="FF0000"/>
          <w:sz w:val="21"/>
          <w:szCs w:val="21"/>
        </w:rPr>
        <w:t>（2025）</w:t>
      </w:r>
      <w:r>
        <w:rPr>
          <w:rFonts w:cs="Times New Roman"/>
          <w:sz w:val="21"/>
          <w:szCs w:val="21"/>
        </w:rPr>
        <w:br w:type="textWrapping"/>
      </w:r>
      <w:r>
        <w:rPr>
          <w:rFonts w:hint="eastAsia" w:cs="Times New Roman"/>
          <w:sz w:val="21"/>
          <w:szCs w:val="21"/>
        </w:rPr>
        <w:drawing>
          <wp:inline distT="0" distB="0" distL="0" distR="0">
            <wp:extent cx="8249285" cy="4785995"/>
            <wp:effectExtent l="0" t="0" r="0" b="0"/>
            <wp:docPr id="5832532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53205" name="图片 1"/>
                    <pic:cNvPicPr>
                      <a:picLocks noChangeAspect="1" noChangeArrowheads="1"/>
                    </pic:cNvPicPr>
                  </pic:nvPicPr>
                  <pic:blipFill>
                    <a:blip r:embed="rId25">
                      <a:extLst>
                        <a:ext uri="{28A0092B-C50C-407E-A947-70E740481C1C}">
                          <a14:useLocalDpi xmlns:a14="http://schemas.microsoft.com/office/drawing/2010/main" val="0"/>
                        </a:ext>
                      </a:extLst>
                    </a:blip>
                    <a:srcRect t="9635" b="8374"/>
                    <a:stretch>
                      <a:fillRect/>
                    </a:stretch>
                  </pic:blipFill>
                  <pic:spPr>
                    <a:xfrm>
                      <a:off x="0" y="0"/>
                      <a:ext cx="8307808" cy="4819940"/>
                    </a:xfrm>
                    <a:prstGeom prst="rect">
                      <a:avLst/>
                    </a:prstGeom>
                    <a:noFill/>
                    <a:ln>
                      <a:noFill/>
                    </a:ln>
                  </pic:spPr>
                </pic:pic>
              </a:graphicData>
            </a:graphic>
          </wp:inline>
        </w:drawing>
      </w:r>
    </w:p>
    <w:p w14:paraId="69346F62">
      <w:pPr>
        <w:jc w:val="center"/>
        <w:rPr>
          <w:rFonts w:hint="eastAsia" w:ascii="黑体" w:hAnsi="黑体" w:eastAsia="黑体" w:cs="Times New Roman"/>
          <w:kern w:val="2"/>
          <w:sz w:val="21"/>
          <w:szCs w:val="24"/>
        </w:rPr>
      </w:pPr>
      <w:r>
        <w:rPr>
          <w:rFonts w:hint="eastAsia" w:ascii="黑体" w:hAnsi="黑体" w:eastAsia="黑体" w:cs="Times New Roman"/>
          <w:kern w:val="2"/>
          <w:sz w:val="21"/>
          <w:szCs w:val="24"/>
        </w:rPr>
        <w:drawing>
          <wp:inline distT="0" distB="0" distL="0" distR="0">
            <wp:extent cx="8173720" cy="5016500"/>
            <wp:effectExtent l="0" t="0" r="0" b="0"/>
            <wp:docPr id="25870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084" name="图片 2"/>
                    <pic:cNvPicPr>
                      <a:picLocks noChangeAspect="1" noChangeArrowheads="1"/>
                    </pic:cNvPicPr>
                  </pic:nvPicPr>
                  <pic:blipFill>
                    <a:blip r:embed="rId26">
                      <a:extLst>
                        <a:ext uri="{28A0092B-C50C-407E-A947-70E740481C1C}">
                          <a14:useLocalDpi xmlns:a14="http://schemas.microsoft.com/office/drawing/2010/main" val="0"/>
                        </a:ext>
                      </a:extLst>
                    </a:blip>
                    <a:srcRect b="13256"/>
                    <a:stretch>
                      <a:fillRect/>
                    </a:stretch>
                  </pic:blipFill>
                  <pic:spPr>
                    <a:xfrm>
                      <a:off x="0" y="0"/>
                      <a:ext cx="8185942" cy="5024547"/>
                    </a:xfrm>
                    <a:prstGeom prst="rect">
                      <a:avLst/>
                    </a:prstGeom>
                    <a:noFill/>
                    <a:ln>
                      <a:noFill/>
                    </a:ln>
                  </pic:spPr>
                </pic:pic>
              </a:graphicData>
            </a:graphic>
          </wp:inline>
        </w:drawing>
      </w:r>
    </w:p>
    <w:p w14:paraId="0ACEA588">
      <w:pPr>
        <w:widowControl/>
        <w:autoSpaceDE/>
        <w:autoSpaceDN/>
        <w:rPr>
          <w:rFonts w:hint="eastAsia" w:ascii="黑体" w:hAnsi="黑体" w:eastAsia="黑体" w:cs="Times New Roman"/>
          <w:kern w:val="2"/>
          <w:sz w:val="21"/>
          <w:szCs w:val="24"/>
        </w:rPr>
        <w:sectPr>
          <w:headerReference r:id="rId22" w:type="first"/>
          <w:footerReference r:id="rId23" w:type="first"/>
          <w:pgSz w:w="16840" w:h="11910" w:orient="landscape"/>
          <w:pgMar w:top="1417" w:right="1640" w:bottom="1134" w:left="1040" w:header="1428" w:footer="850" w:gutter="0"/>
          <w:cols w:space="720" w:num="1"/>
          <w:docGrid w:linePitch="299" w:charSpace="0"/>
        </w:sectPr>
      </w:pPr>
      <w:r>
        <w:rPr>
          <w:rFonts w:hint="eastAsia" w:ascii="黑体" w:hAnsi="黑体" w:eastAsia="黑体" w:cs="Times New Roman"/>
          <w:kern w:val="2"/>
          <w:sz w:val="21"/>
          <w:szCs w:val="24"/>
        </w:rPr>
        <w:br w:type="page"/>
      </w:r>
    </w:p>
    <w:p w14:paraId="1184269A">
      <w:pPr>
        <w:widowControl/>
        <w:autoSpaceDE/>
        <w:autoSpaceDN/>
        <w:rPr>
          <w:rFonts w:hint="eastAsia" w:ascii="黑体" w:hAnsi="黑体" w:eastAsia="黑体" w:cs="Times New Roman"/>
          <w:kern w:val="2"/>
          <w:sz w:val="21"/>
          <w:szCs w:val="24"/>
        </w:rPr>
      </w:pPr>
    </w:p>
    <w:p w14:paraId="15C9A7EE">
      <w:pPr>
        <w:pStyle w:val="2"/>
        <w:rPr>
          <w:rFonts w:hint="eastAsia" w:cs="Times New Roman"/>
          <w:sz w:val="21"/>
          <w:szCs w:val="21"/>
        </w:rPr>
      </w:pPr>
      <w:bookmarkStart w:id="37" w:name="_Toc198641783"/>
      <w:r>
        <w:rPr>
          <w:rFonts w:hint="eastAsia" w:cs="Times New Roman"/>
          <w:sz w:val="21"/>
          <w:szCs w:val="21"/>
        </w:rPr>
        <w:t>附录 B</w:t>
      </w:r>
      <w:r>
        <w:rPr>
          <w:rFonts w:cs="Times New Roman"/>
          <w:sz w:val="21"/>
          <w:szCs w:val="21"/>
        </w:rPr>
        <w:br w:type="textWrapping"/>
      </w:r>
      <w:r>
        <w:rPr>
          <w:rFonts w:hint="eastAsia" w:cs="Times New Roman"/>
          <w:sz w:val="21"/>
          <w:szCs w:val="21"/>
        </w:rPr>
        <w:t>（</w:t>
      </w:r>
      <w:r>
        <w:rPr>
          <w:rFonts w:hint="eastAsia" w:cs="Times New Roman"/>
          <w:color w:val="FF0000"/>
          <w:sz w:val="21"/>
          <w:szCs w:val="21"/>
        </w:rPr>
        <w:t>规范性</w:t>
      </w:r>
      <w:r>
        <w:rPr>
          <w:rFonts w:hint="eastAsia" w:cs="Times New Roman"/>
          <w:sz w:val="21"/>
          <w:szCs w:val="21"/>
        </w:rPr>
        <w:t>）</w:t>
      </w:r>
      <w:bookmarkEnd w:id="37"/>
    </w:p>
    <w:p w14:paraId="4FD4581C">
      <w:pPr>
        <w:autoSpaceDE/>
        <w:autoSpaceDN/>
        <w:spacing w:before="120" w:beforeLines="50" w:after="120" w:afterLines="50"/>
        <w:jc w:val="center"/>
        <w:rPr>
          <w:rFonts w:hint="eastAsia" w:ascii="黑体" w:hAnsi="黑体" w:eastAsia="黑体" w:cs="Times New Roman"/>
          <w:sz w:val="21"/>
          <w:szCs w:val="21"/>
        </w:rPr>
      </w:pPr>
      <w:r>
        <w:rPr>
          <w:rFonts w:hint="eastAsia" w:ascii="黑体" w:hAnsi="黑体" w:eastAsia="黑体" w:cs="Times New Roman"/>
          <w:sz w:val="21"/>
          <w:szCs w:val="21"/>
        </w:rPr>
        <w:t>浦东新区中小学食堂“六T”实务现场管理</w:t>
      </w:r>
      <w:r>
        <w:rPr>
          <w:rFonts w:hint="eastAsia" w:ascii="黑体" w:hAnsi="黑体" w:eastAsia="黑体" w:cs="Times New Roman"/>
          <w:color w:val="FF0000"/>
          <w:sz w:val="21"/>
          <w:szCs w:val="21"/>
        </w:rPr>
        <w:t>标识/标签规范要求</w:t>
      </w:r>
    </w:p>
    <w:tbl>
      <w:tblPr>
        <w:tblStyle w:val="15"/>
        <w:tblW w:w="8693" w:type="dxa"/>
        <w:jc w:val="center"/>
        <w:tblLayout w:type="autofit"/>
        <w:tblCellMar>
          <w:top w:w="0" w:type="dxa"/>
          <w:left w:w="108" w:type="dxa"/>
          <w:bottom w:w="0" w:type="dxa"/>
          <w:right w:w="108" w:type="dxa"/>
        </w:tblCellMar>
      </w:tblPr>
      <w:tblGrid>
        <w:gridCol w:w="990"/>
        <w:gridCol w:w="7703"/>
      </w:tblGrid>
      <w:tr w14:paraId="6095F879">
        <w:trPr>
          <w:trHeight w:val="567"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7EDF">
            <w:pPr>
              <w:widowControl/>
              <w:autoSpaceDE/>
              <w:autoSpaceDN/>
              <w:jc w:val="center"/>
              <w:rPr>
                <w:rFonts w:hint="eastAsia"/>
                <w:color w:val="000000"/>
              </w:rPr>
            </w:pPr>
            <w:r>
              <w:rPr>
                <w:rFonts w:hint="eastAsia"/>
                <w:color w:val="000000"/>
              </w:rPr>
              <w:t>序号</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FC03">
            <w:pPr>
              <w:widowControl/>
              <w:autoSpaceDE/>
              <w:autoSpaceDN/>
              <w:jc w:val="center"/>
              <w:rPr>
                <w:rFonts w:hint="eastAsia"/>
                <w:color w:val="000000"/>
              </w:rPr>
            </w:pPr>
            <w:r>
              <w:rPr>
                <w:rFonts w:hint="eastAsia"/>
                <w:color w:val="000000"/>
              </w:rPr>
              <w:t>公示标识/标签项目</w:t>
            </w:r>
          </w:p>
        </w:tc>
      </w:tr>
      <w:tr w14:paraId="2B3E4DC4">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A1DAF">
            <w:pPr>
              <w:widowControl/>
              <w:autoSpaceDE/>
              <w:autoSpaceDN/>
              <w:jc w:val="center"/>
              <w:rPr>
                <w:rFonts w:hint="eastAsia"/>
                <w:color w:val="000000"/>
              </w:rPr>
            </w:pPr>
            <w:r>
              <w:rPr>
                <w:rFonts w:hint="eastAsia"/>
                <w:color w:val="000000"/>
              </w:rPr>
              <w:t>1</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B9B6">
            <w:pPr>
              <w:widowControl/>
              <w:autoSpaceDE/>
              <w:autoSpaceDN/>
              <w:rPr>
                <w:rFonts w:hint="eastAsia"/>
                <w:color w:val="000000"/>
              </w:rPr>
            </w:pPr>
            <w:r>
              <w:rPr>
                <w:rFonts w:hint="eastAsia"/>
                <w:color w:val="000000"/>
              </w:rPr>
              <w:t>公示制度及台账落款统一为学校方单位名称</w:t>
            </w:r>
          </w:p>
        </w:tc>
      </w:tr>
      <w:tr w14:paraId="261538EC">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1918">
            <w:pPr>
              <w:widowControl/>
              <w:autoSpaceDE/>
              <w:autoSpaceDN/>
              <w:jc w:val="center"/>
              <w:rPr>
                <w:rFonts w:hint="eastAsia"/>
                <w:color w:val="000000"/>
              </w:rPr>
            </w:pPr>
            <w:r>
              <w:rPr>
                <w:rFonts w:hint="eastAsia"/>
                <w:color w:val="000000"/>
              </w:rPr>
              <w:t>2</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6CBC">
            <w:pPr>
              <w:widowControl/>
              <w:autoSpaceDE/>
              <w:autoSpaceDN/>
              <w:rPr>
                <w:rFonts w:hint="eastAsia"/>
                <w:color w:val="000000"/>
              </w:rPr>
            </w:pPr>
            <w:r>
              <w:rPr>
                <w:rFonts w:hint="eastAsia"/>
                <w:color w:val="000000"/>
              </w:rPr>
              <w:t>动物性、植物性、水产品等食品原料的工用具和容器</w:t>
            </w:r>
          </w:p>
        </w:tc>
      </w:tr>
      <w:tr w14:paraId="41715558">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7A4C">
            <w:pPr>
              <w:widowControl/>
              <w:autoSpaceDE/>
              <w:autoSpaceDN/>
              <w:jc w:val="center"/>
              <w:rPr>
                <w:rFonts w:hint="eastAsia"/>
                <w:color w:val="000000"/>
              </w:rPr>
            </w:pPr>
            <w:r>
              <w:rPr>
                <w:rFonts w:hint="eastAsia"/>
                <w:color w:val="000000"/>
              </w:rPr>
              <w:t>3</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70CD">
            <w:pPr>
              <w:widowControl/>
              <w:autoSpaceDE/>
              <w:autoSpaceDN/>
              <w:rPr>
                <w:rFonts w:hint="eastAsia"/>
                <w:color w:val="000000"/>
              </w:rPr>
            </w:pPr>
            <w:r>
              <w:rPr>
                <w:rFonts w:hint="eastAsia"/>
                <w:color w:val="000000"/>
              </w:rPr>
              <w:t>用于原料、半成品、成品的工用具和容器</w:t>
            </w:r>
          </w:p>
        </w:tc>
      </w:tr>
      <w:tr w14:paraId="3520048F">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E7F6">
            <w:pPr>
              <w:widowControl/>
              <w:autoSpaceDE/>
              <w:autoSpaceDN/>
              <w:jc w:val="center"/>
              <w:rPr>
                <w:rFonts w:hint="eastAsia"/>
                <w:color w:val="000000"/>
              </w:rPr>
            </w:pPr>
            <w:r>
              <w:rPr>
                <w:rFonts w:hint="eastAsia"/>
                <w:color w:val="000000"/>
              </w:rPr>
              <w:t>4</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9DC9">
            <w:pPr>
              <w:widowControl/>
              <w:autoSpaceDE/>
              <w:autoSpaceDN/>
              <w:rPr>
                <w:rFonts w:hint="eastAsia"/>
                <w:color w:val="000000"/>
              </w:rPr>
            </w:pPr>
            <w:r>
              <w:rPr>
                <w:rFonts w:hint="eastAsia"/>
                <w:color w:val="000000"/>
              </w:rPr>
              <w:t>清洗和未清洗食材、消毒和未消毒容器</w:t>
            </w:r>
          </w:p>
        </w:tc>
      </w:tr>
      <w:tr w14:paraId="30506C33">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A1F1">
            <w:pPr>
              <w:widowControl/>
              <w:autoSpaceDE/>
              <w:autoSpaceDN/>
              <w:jc w:val="center"/>
              <w:rPr>
                <w:rFonts w:hint="eastAsia"/>
                <w:color w:val="000000"/>
              </w:rPr>
            </w:pPr>
            <w:r>
              <w:rPr>
                <w:rFonts w:hint="eastAsia"/>
                <w:color w:val="000000"/>
              </w:rPr>
              <w:t>5</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052AC">
            <w:pPr>
              <w:widowControl/>
              <w:autoSpaceDE/>
              <w:autoSpaceDN/>
              <w:rPr>
                <w:rFonts w:hint="eastAsia"/>
                <w:color w:val="000000"/>
              </w:rPr>
            </w:pPr>
            <w:r>
              <w:rPr>
                <w:rFonts w:hint="eastAsia"/>
                <w:color w:val="000000"/>
              </w:rPr>
              <w:t>场所区域标识（粗加工区、烹饪区、专间、仓库等）</w:t>
            </w:r>
          </w:p>
        </w:tc>
      </w:tr>
      <w:tr w14:paraId="73ACFC4A">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A098">
            <w:pPr>
              <w:widowControl/>
              <w:autoSpaceDE/>
              <w:autoSpaceDN/>
              <w:jc w:val="center"/>
              <w:rPr>
                <w:rFonts w:hint="eastAsia"/>
                <w:color w:val="000000"/>
              </w:rPr>
            </w:pPr>
            <w:r>
              <w:rPr>
                <w:rFonts w:hint="eastAsia"/>
                <w:color w:val="000000"/>
              </w:rPr>
              <w:t>6</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A64F">
            <w:pPr>
              <w:widowControl/>
              <w:autoSpaceDE/>
              <w:autoSpaceDN/>
              <w:rPr>
                <w:rFonts w:hint="eastAsia"/>
                <w:color w:val="000000"/>
              </w:rPr>
            </w:pPr>
            <w:r>
              <w:rPr>
                <w:rFonts w:hint="eastAsia"/>
                <w:color w:val="000000"/>
              </w:rPr>
              <w:t>所有设施设备的操作规程</w:t>
            </w:r>
          </w:p>
        </w:tc>
      </w:tr>
      <w:tr w14:paraId="20369E37">
        <w:tblPrEx>
          <w:tblCellMar>
            <w:top w:w="0" w:type="dxa"/>
            <w:left w:w="108" w:type="dxa"/>
            <w:bottom w:w="0" w:type="dxa"/>
            <w:right w:w="108" w:type="dxa"/>
          </w:tblCellMar>
        </w:tblPrEx>
        <w:trPr>
          <w:trHeight w:val="454"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89AF">
            <w:pPr>
              <w:widowControl/>
              <w:autoSpaceDE/>
              <w:autoSpaceDN/>
              <w:jc w:val="center"/>
              <w:rPr>
                <w:rFonts w:hint="eastAsia"/>
                <w:color w:val="000000"/>
              </w:rPr>
            </w:pPr>
            <w:r>
              <w:rPr>
                <w:rFonts w:hint="eastAsia"/>
                <w:color w:val="000000"/>
              </w:rPr>
              <w:t>7</w:t>
            </w:r>
          </w:p>
        </w:tc>
        <w:tc>
          <w:tcPr>
            <w:tcW w:w="7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E082">
            <w:pPr>
              <w:widowControl/>
              <w:autoSpaceDE/>
              <w:autoSpaceDN/>
              <w:rPr>
                <w:rFonts w:hint="eastAsia"/>
                <w:color w:val="000000"/>
              </w:rPr>
            </w:pPr>
            <w:r>
              <w:rPr>
                <w:rFonts w:hint="eastAsia"/>
                <w:color w:val="000000"/>
              </w:rPr>
              <w:t>采用化学消毒的药物与水相配比的(容器)刻度线，配方上墙</w:t>
            </w:r>
          </w:p>
        </w:tc>
      </w:tr>
    </w:tbl>
    <w:p w14:paraId="46B87B24">
      <w:pPr>
        <w:autoSpaceDE/>
        <w:autoSpaceDN/>
        <w:spacing w:before="120" w:beforeLines="50" w:after="120" w:afterLines="50"/>
        <w:jc w:val="center"/>
        <w:rPr>
          <w:rFonts w:hint="eastAsia" w:ascii="黑体" w:hAnsi="黑体" w:eastAsia="黑体" w:cs="Times New Roman"/>
          <w:kern w:val="2"/>
          <w:sz w:val="21"/>
          <w:szCs w:val="24"/>
        </w:rPr>
      </w:pP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7726"/>
      </w:tblGrid>
      <w:tr w14:paraId="76590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0" w:type="dxa"/>
            <w:vAlign w:val="center"/>
          </w:tcPr>
          <w:p w14:paraId="6EA40598">
            <w:pPr>
              <w:autoSpaceDE/>
              <w:autoSpaceDN/>
              <w:spacing w:before="120" w:beforeLines="50" w:after="120" w:afterLines="50"/>
              <w:jc w:val="center"/>
              <w:rPr>
                <w:rFonts w:hint="eastAsia"/>
                <w:color w:val="000000"/>
                <w:sz w:val="22"/>
                <w:szCs w:val="22"/>
              </w:rPr>
            </w:pPr>
            <w:r>
              <w:rPr>
                <w:rFonts w:hint="eastAsia"/>
                <w:color w:val="000000"/>
                <w:sz w:val="22"/>
                <w:szCs w:val="22"/>
              </w:rPr>
              <w:t>序号</w:t>
            </w:r>
          </w:p>
        </w:tc>
        <w:tc>
          <w:tcPr>
            <w:tcW w:w="7726" w:type="dxa"/>
            <w:vAlign w:val="center"/>
          </w:tcPr>
          <w:p w14:paraId="25778C96">
            <w:pPr>
              <w:autoSpaceDE/>
              <w:autoSpaceDN/>
              <w:spacing w:before="120" w:beforeLines="50" w:after="120" w:afterLines="50"/>
              <w:jc w:val="center"/>
              <w:rPr>
                <w:rFonts w:hint="eastAsia"/>
                <w:color w:val="000000"/>
                <w:sz w:val="22"/>
                <w:szCs w:val="22"/>
              </w:rPr>
            </w:pPr>
            <w:r>
              <w:rPr>
                <w:rFonts w:hint="eastAsia"/>
                <w:color w:val="000000"/>
                <w:sz w:val="22"/>
                <w:szCs w:val="22"/>
              </w:rPr>
              <w:t>上墙标识/标签要求</w:t>
            </w:r>
          </w:p>
        </w:tc>
      </w:tr>
      <w:tr w14:paraId="24D29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0" w:type="dxa"/>
            <w:vAlign w:val="center"/>
          </w:tcPr>
          <w:p w14:paraId="51647AD1">
            <w:pPr>
              <w:autoSpaceDE/>
              <w:autoSpaceDN/>
              <w:spacing w:before="120" w:beforeLines="50" w:after="120" w:afterLines="50"/>
              <w:jc w:val="center"/>
              <w:rPr>
                <w:rFonts w:hint="eastAsia"/>
                <w:color w:val="000000"/>
                <w:sz w:val="22"/>
                <w:szCs w:val="22"/>
              </w:rPr>
            </w:pPr>
            <w:r>
              <w:rPr>
                <w:rFonts w:hint="eastAsia"/>
                <w:color w:val="000000"/>
                <w:sz w:val="22"/>
                <w:szCs w:val="22"/>
              </w:rPr>
              <w:t>1</w:t>
            </w:r>
          </w:p>
        </w:tc>
        <w:tc>
          <w:tcPr>
            <w:tcW w:w="7726" w:type="dxa"/>
            <w:vAlign w:val="center"/>
          </w:tcPr>
          <w:p w14:paraId="16C87F91">
            <w:pPr>
              <w:autoSpaceDE/>
              <w:autoSpaceDN/>
              <w:spacing w:before="120" w:beforeLines="50" w:after="120" w:afterLines="50"/>
              <w:rPr>
                <w:rFonts w:hint="eastAsia"/>
                <w:color w:val="000000"/>
                <w:sz w:val="22"/>
                <w:szCs w:val="22"/>
              </w:rPr>
            </w:pPr>
            <w:r>
              <w:rPr>
                <w:rFonts w:hint="eastAsia"/>
                <w:color w:val="000000"/>
                <w:sz w:val="22"/>
                <w:szCs w:val="22"/>
              </w:rPr>
              <w:t>标识/标签统一、标识、标签、图表张贴整齐规范、内容符合要求</w:t>
            </w:r>
          </w:p>
        </w:tc>
      </w:tr>
      <w:tr w14:paraId="40C31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0" w:type="dxa"/>
            <w:vAlign w:val="center"/>
          </w:tcPr>
          <w:p w14:paraId="5B42DC4E">
            <w:pPr>
              <w:autoSpaceDE/>
              <w:autoSpaceDN/>
              <w:spacing w:before="120" w:beforeLines="50" w:after="120" w:afterLines="50"/>
              <w:jc w:val="center"/>
              <w:rPr>
                <w:rFonts w:hint="eastAsia"/>
                <w:color w:val="000000"/>
                <w:sz w:val="22"/>
                <w:szCs w:val="22"/>
              </w:rPr>
            </w:pPr>
            <w:r>
              <w:rPr>
                <w:rFonts w:hint="eastAsia"/>
                <w:color w:val="000000"/>
                <w:sz w:val="22"/>
                <w:szCs w:val="22"/>
              </w:rPr>
              <w:t>2</w:t>
            </w:r>
          </w:p>
        </w:tc>
        <w:tc>
          <w:tcPr>
            <w:tcW w:w="7726" w:type="dxa"/>
            <w:vAlign w:val="center"/>
          </w:tcPr>
          <w:p w14:paraId="2F0A7F51">
            <w:pPr>
              <w:autoSpaceDE/>
              <w:autoSpaceDN/>
              <w:spacing w:before="120" w:beforeLines="50" w:after="120" w:afterLines="50"/>
              <w:rPr>
                <w:rFonts w:hint="eastAsia"/>
                <w:color w:val="000000"/>
                <w:sz w:val="22"/>
                <w:szCs w:val="22"/>
              </w:rPr>
            </w:pPr>
            <w:r>
              <w:rPr>
                <w:rFonts w:hint="eastAsia"/>
                <w:color w:val="000000"/>
                <w:sz w:val="22"/>
                <w:szCs w:val="22"/>
              </w:rPr>
              <w:t>标识/标签无脱落、翘起、无受潮、损坏、无手写</w:t>
            </w:r>
          </w:p>
        </w:tc>
      </w:tr>
    </w:tbl>
    <w:p w14:paraId="195E7EA4">
      <w:pPr>
        <w:autoSpaceDE/>
        <w:autoSpaceDN/>
        <w:spacing w:before="120" w:beforeLines="50" w:after="120" w:afterLines="50"/>
        <w:jc w:val="center"/>
        <w:rPr>
          <w:rFonts w:hint="eastAsia" w:ascii="黑体" w:hAnsi="黑体" w:eastAsia="黑体" w:cs="Times New Roman"/>
          <w:kern w:val="2"/>
          <w:sz w:val="21"/>
          <w:szCs w:val="24"/>
        </w:rPr>
      </w:pPr>
    </w:p>
    <w:sectPr>
      <w:pgSz w:w="11910" w:h="16840"/>
      <w:pgMar w:top="1640" w:right="1134" w:bottom="1040" w:left="1417" w:header="1428" w:footer="85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8553272"/>
    </w:sdtPr>
    <w:sdtContent>
      <w:p w14:paraId="7E6650C4">
        <w:pPr>
          <w:pStyle w:val="9"/>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4993E">
    <w:pPr>
      <w:pStyle w:val="9"/>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AD7EE">
    <w:pPr>
      <w:pStyle w:val="9"/>
      <w:jc w:val="right"/>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9461502"/>
    </w:sdtPr>
    <w:sdtContent>
      <w:p w14:paraId="01FA0038">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47115381"/>
    </w:sdtPr>
    <w:sdtContent>
      <w:p w14:paraId="55538771">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06408556"/>
    </w:sdtPr>
    <w:sdtContent>
      <w:p w14:paraId="17135B84">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C8148">
    <w:pPr>
      <w:pStyle w:val="9"/>
      <w:jc w:val="right"/>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3344328"/>
    </w:sdtPr>
    <w:sdtContent>
      <w:p w14:paraId="7F1CE54E">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4758566"/>
    </w:sdtPr>
    <w:sdtContent>
      <w:p w14:paraId="757174E4">
        <w:pPr>
          <w:pStyle w:val="9"/>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0193743"/>
    </w:sdtPr>
    <w:sdtContent>
      <w:p w14:paraId="154210C2">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552988"/>
    </w:sdtPr>
    <w:sdtContent>
      <w:p w14:paraId="0B6C1992">
        <w:pPr>
          <w:pStyle w:val="9"/>
          <w:jc w:val="right"/>
          <w:rPr>
            <w:rFonts w:hint="eastAsia"/>
          </w:rP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32698845"/>
    </w:sdtPr>
    <w:sdtContent>
      <w:p w14:paraId="389934D4">
        <w:pPr>
          <w:pStyle w:val="10"/>
          <w:rPr>
            <w:rFonts w:hint="eastAsia"/>
          </w:rPr>
        </w:pPr>
        <w:r>
          <w:fldChar w:fldCharType="begin"/>
        </w:r>
        <w:r>
          <w:instrText xml:space="preserve">PAGE   \* MERGEFORMAT</w:instrText>
        </w:r>
        <w:r>
          <w:fldChar w:fldCharType="separate"/>
        </w:r>
        <w:r>
          <w:rPr>
            <w:lang w:val="zh-CN"/>
          </w:rPr>
          <w:t>2</w:t>
        </w:r>
        <w:r>
          <w:fldChar w:fldCharType="end"/>
        </w:r>
      </w:p>
    </w:sdtContent>
  </w:sdt>
  <w:p w14:paraId="688C81E1">
    <w:pPr>
      <w:pStyle w:val="1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8C9E9">
    <w:pPr>
      <w:pStyle w:val="1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D67AA">
    <w:pPr>
      <w:pStyle w:val="1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0A158">
    <w:pPr>
      <w:pStyle w:val="27"/>
      <w:framePr w:w="0" w:hRule="auto" w:hSpace="0" w:wrap="auto" w:vAnchor="margin" w:hAnchor="text" w:xAlign="left" w:yAlign="inline"/>
      <w:ind w:left="47" w:right="105"/>
      <w:rPr>
        <w:rFonts w:hint="eastAsia" w:hAnsi="黑体" w:cs="黑体"/>
      </w:rPr>
    </w:pPr>
    <w:r>
      <w:rPr>
        <w:rFonts w:hint="eastAsia" w:hAnsi="黑体" w:cs="黑体"/>
      </w:rPr>
      <w:t>T/SYAX 000</w:t>
    </w:r>
    <w:r>
      <w:rPr>
        <w:rFonts w:hint="eastAsia" w:hAnsi="黑体" w:cs="黑体"/>
        <w:color w:val="FF0000"/>
      </w:rPr>
      <w:t>5</w:t>
    </w:r>
    <w:r>
      <w:rPr>
        <w:rFonts w:hint="eastAsia" w:hAnsi="黑体" w:cs="黑体"/>
      </w:rPr>
      <w:t>—20</w:t>
    </w:r>
    <w:r>
      <w:rPr>
        <w:rFonts w:hint="eastAsia" w:hAnsi="黑体" w:cs="黑体"/>
        <w:color w:val="FF0000"/>
      </w:rPr>
      <w:t>25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BDCF2">
    <w:pPr>
      <w:pStyle w:val="27"/>
      <w:framePr w:w="0" w:hRule="auto" w:hSpace="0" w:wrap="auto" w:vAnchor="margin" w:hAnchor="text" w:xAlign="left" w:yAlign="inline"/>
      <w:ind w:left="47" w:right="105"/>
      <w:rPr>
        <w:rFonts w:hint="eastAsia" w:hAnsi="黑体" w:cs="黑体"/>
      </w:rPr>
    </w:pPr>
    <w:r>
      <w:rPr>
        <w:rFonts w:hint="eastAsia" w:hAnsi="黑体" w:cs="黑体"/>
      </w:rPr>
      <w:t>T/SYAX 0004—20XX</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ED12">
    <w:pPr>
      <w:pStyle w:val="10"/>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1E774">
    <w:pPr>
      <w:pStyle w:val="27"/>
      <w:framePr w:w="0" w:hRule="auto" w:hSpace="0" w:wrap="auto" w:vAnchor="margin" w:hAnchor="text" w:xAlign="left" w:yAlign="inline"/>
      <w:spacing w:line="360" w:lineRule="auto"/>
      <w:ind w:left="45" w:right="108"/>
      <w:rPr>
        <w:rFonts w:hint="eastAsia" w:hAnsi="黑体" w:cs="黑体"/>
      </w:rPr>
    </w:pPr>
    <w:r>
      <w:rPr>
        <w:rFonts w:hint="eastAsia" w:hAnsi="黑体" w:cs="黑体"/>
      </w:rPr>
      <w:t>T/SYAX 0004—20XX</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8A642">
    <w:pPr>
      <w:pStyle w:val="27"/>
      <w:framePr w:w="0" w:hRule="auto" w:hSpace="0" w:wrap="auto" w:vAnchor="margin" w:hAnchor="text" w:xAlign="left" w:yAlign="inline"/>
      <w:spacing w:line="360" w:lineRule="auto"/>
      <w:ind w:left="45" w:right="108"/>
      <w:jc w:val="left"/>
      <w:rPr>
        <w:rFonts w:hint="eastAsia" w:hAnsi="黑体" w:cs="黑体"/>
      </w:rPr>
    </w:pPr>
    <w:r>
      <w:rPr>
        <w:rFonts w:hint="eastAsia" w:hAnsi="黑体" w:cs="黑体"/>
      </w:rPr>
      <w:t>T/SYAX 000</w:t>
    </w:r>
    <w:r>
      <w:rPr>
        <w:rFonts w:hint="eastAsia" w:hAnsi="黑体" w:cs="黑体"/>
        <w:color w:val="FF0000"/>
      </w:rPr>
      <w:t>5</w:t>
    </w:r>
    <w:r>
      <w:rPr>
        <w:rFonts w:hint="eastAsia" w:hAnsi="黑体" w:cs="黑体"/>
      </w:rPr>
      <w:t>—20</w:t>
    </w:r>
    <w:r>
      <w:rPr>
        <w:rFonts w:hint="eastAsia" w:hAnsi="黑体" w:cs="黑体"/>
        <w:color w:val="FF0000"/>
      </w:rPr>
      <w:t>25</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AF566">
    <w:pPr>
      <w:pStyle w:val="27"/>
      <w:framePr w:w="0" w:hRule="auto" w:hSpace="0" w:wrap="auto" w:vAnchor="margin" w:hAnchor="text" w:xAlign="left" w:yAlign="inline"/>
      <w:spacing w:line="360" w:lineRule="auto"/>
      <w:ind w:left="45" w:right="108"/>
      <w:rPr>
        <w:rFonts w:hint="eastAsia" w:hAnsi="黑体" w:cs="黑体"/>
      </w:rPr>
    </w:pPr>
    <w:r>
      <w:rPr>
        <w:rFonts w:hint="eastAsia" w:hAnsi="黑体" w:cs="黑体"/>
      </w:rPr>
      <w:t>T/SYAX 0004—20XX</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D6330">
    <w:pPr>
      <w:pStyle w:val="27"/>
      <w:framePr w:w="0" w:hRule="auto" w:hSpace="0" w:wrap="auto" w:vAnchor="margin" w:hAnchor="text" w:xAlign="left" w:yAlign="inline"/>
      <w:spacing w:line="360" w:lineRule="auto"/>
      <w:ind w:left="45" w:right="108"/>
      <w:rPr>
        <w:rFonts w:hint="eastAsia" w:hAnsi="黑体" w:cs="黑体"/>
      </w:rPr>
    </w:pPr>
    <w:r>
      <w:rPr>
        <w:rFonts w:hint="eastAsia" w:hAnsi="黑体" w:cs="黑体"/>
      </w:rPr>
      <w:t>T/SYAX 0004—20XX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BA06F1"/>
    <w:multiLevelType w:val="multilevel"/>
    <w:tmpl w:val="3FBA06F1"/>
    <w:lvl w:ilvl="0" w:tentative="0">
      <w:start w:val="5"/>
      <w:numFmt w:val="decimal"/>
      <w:lvlText w:val="%1"/>
      <w:lvlJc w:val="left"/>
      <w:pPr>
        <w:ind w:left="440" w:hanging="440"/>
      </w:pPr>
      <w:rPr>
        <w:rFonts w:hint="default"/>
      </w:rPr>
    </w:lvl>
    <w:lvl w:ilvl="1" w:tentative="0">
      <w:start w:val="11"/>
      <w:numFmt w:val="decimal"/>
      <w:lvlText w:val="%1.%2"/>
      <w:lvlJc w:val="left"/>
      <w:pPr>
        <w:ind w:left="440" w:hanging="440"/>
      </w:pPr>
      <w:rPr>
        <w:rFonts w:hint="default"/>
      </w:rPr>
    </w:lvl>
    <w:lvl w:ilvl="2" w:tentative="0">
      <w:start w:val="1"/>
      <w:numFmt w:val="decimal"/>
      <w:pStyle w:val="78"/>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
    <w:nsid w:val="716C088D"/>
    <w:multiLevelType w:val="multilevel"/>
    <w:tmpl w:val="716C088D"/>
    <w:lvl w:ilvl="0" w:tentative="0">
      <w:start w:val="1"/>
      <w:numFmt w:val="decimal"/>
      <w:pStyle w:val="76"/>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
    <w:nsid w:val="7EB4167E"/>
    <w:multiLevelType w:val="multilevel"/>
    <w:tmpl w:val="7EB4167E"/>
    <w:lvl w:ilvl="0" w:tentative="0">
      <w:start w:val="1"/>
      <w:numFmt w:val="decimal"/>
      <w:pStyle w:val="37"/>
      <w:suff w:val="space"/>
      <w:lvlText w:val="%1"/>
      <w:lvlJc w:val="left"/>
      <w:pPr>
        <w:ind w:left="567" w:hanging="567"/>
      </w:pPr>
      <w:rPr>
        <w:rFonts w:hint="default"/>
      </w:rPr>
    </w:lvl>
    <w:lvl w:ilvl="1" w:tentative="0">
      <w:start w:val="1"/>
      <w:numFmt w:val="decimal"/>
      <w:suff w:val="space"/>
      <w:lvlText w:val="%1.%2"/>
      <w:lvlJc w:val="left"/>
      <w:pPr>
        <w:ind w:left="360" w:hanging="360"/>
      </w:pPr>
      <w:rPr>
        <w:rFonts w:hint="default" w:ascii="黑体" w:hAnsi="黑体" w:eastAsia="黑体"/>
      </w:rPr>
    </w:lvl>
    <w:lvl w:ilvl="2" w:tentative="0">
      <w:start w:val="1"/>
      <w:numFmt w:val="decimal"/>
      <w:suff w:val="space"/>
      <w:lvlText w:val="%1.%2.%3"/>
      <w:lvlJc w:val="left"/>
      <w:pPr>
        <w:ind w:left="357" w:hanging="357"/>
      </w:pPr>
      <w:rPr>
        <w:rFonts w:hint="default" w:ascii="黑体" w:hAnsi="黑体" w:eastAsia="黑体"/>
        <w:color w:val="auto"/>
      </w:rPr>
    </w:lvl>
    <w:lvl w:ilvl="3" w:tentative="0">
      <w:start w:val="1"/>
      <w:numFmt w:val="decimal"/>
      <w:lvlText w:val="%1.%2.%3.%4"/>
      <w:lvlJc w:val="left"/>
      <w:pPr>
        <w:ind w:left="0" w:firstLine="0"/>
      </w:pPr>
      <w:rPr>
        <w:rFonts w:hint="default" w:ascii="黑体" w:hAnsi="黑体" w:eastAsia="黑体"/>
      </w:rPr>
    </w:lvl>
    <w:lvl w:ilvl="4" w:tentative="0">
      <w:start w:val="1"/>
      <w:numFmt w:val="decimal"/>
      <w:lvlText w:val="%1.%2.%3.%4.%5"/>
      <w:lvlJc w:val="left"/>
      <w:pPr>
        <w:ind w:left="1080" w:hanging="1080"/>
      </w:pPr>
      <w:rPr>
        <w:rFonts w:hint="default" w:ascii="黑体" w:hAnsi="黑体" w:eastAsia="黑体"/>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2"/>
    <w:lvlOverride w:ilvl="0">
      <w:lvl w:ilvl="0" w:tentative="1">
        <w:start w:val="1"/>
        <w:numFmt w:val="decimal"/>
        <w:lvlText w:val="%1"/>
        <w:lvlJc w:val="left"/>
        <w:pPr>
          <w:ind w:left="360" w:hanging="360"/>
        </w:pPr>
        <w:rPr>
          <w:rFonts w:hint="default"/>
        </w:rPr>
      </w:lvl>
    </w:lvlOverride>
    <w:lvlOverride w:ilvl="1">
      <w:lvl w:ilvl="1" w:tentative="1">
        <w:start w:val="1"/>
        <w:numFmt w:val="decimal"/>
        <w:lvlText w:val="%1.%2"/>
        <w:lvlJc w:val="left"/>
        <w:pPr>
          <w:ind w:left="360" w:hanging="360"/>
        </w:pPr>
        <w:rPr>
          <w:rFonts w:hint="default" w:ascii="黑体" w:hAnsi="黑体" w:eastAsia="黑体" w:cs="黑体"/>
          <w:b w:val="0"/>
          <w:bCs w:val="0"/>
        </w:rPr>
      </w:lvl>
    </w:lvlOverride>
    <w:lvlOverride w:ilvl="2">
      <w:lvl w:ilvl="2" w:tentative="1">
        <w:start w:val="1"/>
        <w:numFmt w:val="decimal"/>
        <w:suff w:val="space"/>
        <w:lvlText w:val="%1.%2.%3"/>
        <w:lvlJc w:val="left"/>
        <w:pPr>
          <w:ind w:left="0" w:firstLine="0"/>
        </w:pPr>
        <w:rPr>
          <w:rFonts w:hint="default" w:ascii="黑体" w:hAnsi="黑体" w:eastAsia="黑体"/>
        </w:rPr>
      </w:lvl>
    </w:lvlOverride>
    <w:lvlOverride w:ilvl="3">
      <w:lvl w:ilvl="3" w:tentative="1">
        <w:start w:val="1"/>
        <w:numFmt w:val="decimal"/>
        <w:lvlText w:val="%1.%2.%3.%4"/>
        <w:lvlJc w:val="left"/>
        <w:pPr>
          <w:ind w:left="0" w:firstLine="0"/>
        </w:pPr>
        <w:rPr>
          <w:rFonts w:hint="default" w:ascii="黑体" w:hAnsi="黑体" w:eastAsia="黑体"/>
        </w:rPr>
      </w:lvl>
    </w:lvlOverride>
    <w:lvlOverride w:ilvl="4">
      <w:lvl w:ilvl="4" w:tentative="1">
        <w:start w:val="1"/>
        <w:numFmt w:val="decimal"/>
        <w:lvlText w:val="%1.%2.%3.%4.%5"/>
        <w:lvlJc w:val="left"/>
        <w:pPr>
          <w:ind w:left="1080" w:hanging="1080"/>
        </w:pPr>
        <w:rPr>
          <w:rFonts w:hint="default" w:ascii="黑体" w:hAnsi="黑体" w:eastAsia="黑体"/>
        </w:rPr>
      </w:lvl>
    </w:lvlOverride>
    <w:lvlOverride w:ilvl="5">
      <w:lvl w:ilvl="5" w:tentative="1">
        <w:start w:val="1"/>
        <w:numFmt w:val="decimal"/>
        <w:lvlText w:val="%1.%2.%3.%4.%5.%6"/>
        <w:lvlJc w:val="left"/>
        <w:pPr>
          <w:ind w:left="1440" w:hanging="1440"/>
        </w:pPr>
        <w:rPr>
          <w:rFonts w:hint="default"/>
        </w:rPr>
      </w:lvl>
    </w:lvlOverride>
    <w:lvlOverride w:ilvl="6">
      <w:lvl w:ilvl="6" w:tentative="1">
        <w:start w:val="1"/>
        <w:numFmt w:val="decimal"/>
        <w:lvlText w:val="%1.%2.%3.%4.%5.%6.%7"/>
        <w:lvlJc w:val="left"/>
        <w:pPr>
          <w:ind w:left="1440" w:hanging="1440"/>
        </w:pPr>
        <w:rPr>
          <w:rFonts w:hint="default"/>
        </w:rPr>
      </w:lvl>
    </w:lvlOverride>
    <w:lvlOverride w:ilvl="7">
      <w:lvl w:ilvl="7" w:tentative="1">
        <w:start w:val="1"/>
        <w:numFmt w:val="decimal"/>
        <w:lvlText w:val="%1.%2.%3.%4.%5.%6.%7.%8"/>
        <w:lvlJc w:val="left"/>
        <w:pPr>
          <w:ind w:left="1800" w:hanging="1800"/>
        </w:pPr>
        <w:rPr>
          <w:rFonts w:hint="default"/>
        </w:rPr>
      </w:lvl>
    </w:lvlOverride>
    <w:lvlOverride w:ilvl="8">
      <w:lvl w:ilvl="8" w:tentative="1">
        <w:start w:val="1"/>
        <w:numFmt w:val="decimal"/>
        <w:lvlText w:val="%1.%2.%3.%4.%5.%6.%7.%8.%9"/>
        <w:lvlJc w:val="left"/>
        <w:pPr>
          <w:ind w:left="2160" w:hanging="21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evenAndOddHeaders w:val="1"/>
  <w:drawingGridHorizontalSpacing w:val="110"/>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TZlZTg3ODBmYTI4YWVmMGVmZTJmZWYzNjlmNjY4YzcifQ=="/>
  </w:docVars>
  <w:rsids>
    <w:rsidRoot w:val="00CA6B0B"/>
    <w:rsid w:val="00001240"/>
    <w:rsid w:val="0000413C"/>
    <w:rsid w:val="000056DA"/>
    <w:rsid w:val="0000771A"/>
    <w:rsid w:val="0001156D"/>
    <w:rsid w:val="000122E2"/>
    <w:rsid w:val="00015B8E"/>
    <w:rsid w:val="00015EE0"/>
    <w:rsid w:val="00016357"/>
    <w:rsid w:val="0001786C"/>
    <w:rsid w:val="000213C3"/>
    <w:rsid w:val="00021B8F"/>
    <w:rsid w:val="000229E8"/>
    <w:rsid w:val="000230D1"/>
    <w:rsid w:val="000250D6"/>
    <w:rsid w:val="00025B5A"/>
    <w:rsid w:val="00030E4E"/>
    <w:rsid w:val="00031BD4"/>
    <w:rsid w:val="00031E17"/>
    <w:rsid w:val="00032F98"/>
    <w:rsid w:val="0003743D"/>
    <w:rsid w:val="00041FE6"/>
    <w:rsid w:val="00046B12"/>
    <w:rsid w:val="0004793D"/>
    <w:rsid w:val="000512E6"/>
    <w:rsid w:val="00052445"/>
    <w:rsid w:val="00057C16"/>
    <w:rsid w:val="0006179A"/>
    <w:rsid w:val="0006201E"/>
    <w:rsid w:val="0006537D"/>
    <w:rsid w:val="00065657"/>
    <w:rsid w:val="000712C7"/>
    <w:rsid w:val="000746F2"/>
    <w:rsid w:val="0007477A"/>
    <w:rsid w:val="0007640C"/>
    <w:rsid w:val="00080354"/>
    <w:rsid w:val="00081103"/>
    <w:rsid w:val="000828B4"/>
    <w:rsid w:val="0008366F"/>
    <w:rsid w:val="000850D1"/>
    <w:rsid w:val="00086528"/>
    <w:rsid w:val="0009171E"/>
    <w:rsid w:val="0009470D"/>
    <w:rsid w:val="00095EB2"/>
    <w:rsid w:val="000A112C"/>
    <w:rsid w:val="000A68D4"/>
    <w:rsid w:val="000A6DC9"/>
    <w:rsid w:val="000B152E"/>
    <w:rsid w:val="000B2B43"/>
    <w:rsid w:val="000B33E5"/>
    <w:rsid w:val="000B3699"/>
    <w:rsid w:val="000B4095"/>
    <w:rsid w:val="000B5BFB"/>
    <w:rsid w:val="000C0567"/>
    <w:rsid w:val="000C0B07"/>
    <w:rsid w:val="000C4D3D"/>
    <w:rsid w:val="000C654D"/>
    <w:rsid w:val="000C792F"/>
    <w:rsid w:val="000D302C"/>
    <w:rsid w:val="000D3C0B"/>
    <w:rsid w:val="000D75CC"/>
    <w:rsid w:val="000E2501"/>
    <w:rsid w:val="000E3C89"/>
    <w:rsid w:val="000E4545"/>
    <w:rsid w:val="000E4C2F"/>
    <w:rsid w:val="000F254A"/>
    <w:rsid w:val="000F42E3"/>
    <w:rsid w:val="000F4C62"/>
    <w:rsid w:val="001036A1"/>
    <w:rsid w:val="00105F94"/>
    <w:rsid w:val="001106CD"/>
    <w:rsid w:val="00112ABA"/>
    <w:rsid w:val="00113C32"/>
    <w:rsid w:val="001212EB"/>
    <w:rsid w:val="0012170D"/>
    <w:rsid w:val="00127E3A"/>
    <w:rsid w:val="001326D9"/>
    <w:rsid w:val="00132E2B"/>
    <w:rsid w:val="00135BE4"/>
    <w:rsid w:val="00135DF1"/>
    <w:rsid w:val="00140188"/>
    <w:rsid w:val="00145F65"/>
    <w:rsid w:val="00146468"/>
    <w:rsid w:val="00153273"/>
    <w:rsid w:val="00153382"/>
    <w:rsid w:val="001536AD"/>
    <w:rsid w:val="0015412E"/>
    <w:rsid w:val="0015494C"/>
    <w:rsid w:val="00154EE1"/>
    <w:rsid w:val="00164A59"/>
    <w:rsid w:val="001651E9"/>
    <w:rsid w:val="00166F4C"/>
    <w:rsid w:val="00166FCD"/>
    <w:rsid w:val="001715A0"/>
    <w:rsid w:val="00173C6B"/>
    <w:rsid w:val="00176DE1"/>
    <w:rsid w:val="00177422"/>
    <w:rsid w:val="00177DB3"/>
    <w:rsid w:val="001805EE"/>
    <w:rsid w:val="001810F3"/>
    <w:rsid w:val="001838BC"/>
    <w:rsid w:val="001839F7"/>
    <w:rsid w:val="00190364"/>
    <w:rsid w:val="00190D73"/>
    <w:rsid w:val="00192B79"/>
    <w:rsid w:val="001A29AB"/>
    <w:rsid w:val="001A545E"/>
    <w:rsid w:val="001A59F4"/>
    <w:rsid w:val="001B2400"/>
    <w:rsid w:val="001B4795"/>
    <w:rsid w:val="001B5612"/>
    <w:rsid w:val="001B5B2D"/>
    <w:rsid w:val="001B6AAE"/>
    <w:rsid w:val="001C10F6"/>
    <w:rsid w:val="001C2794"/>
    <w:rsid w:val="001C3AFC"/>
    <w:rsid w:val="001C409F"/>
    <w:rsid w:val="001C64AD"/>
    <w:rsid w:val="001D06E6"/>
    <w:rsid w:val="001D0BB3"/>
    <w:rsid w:val="001D10DE"/>
    <w:rsid w:val="001D4201"/>
    <w:rsid w:val="001D4903"/>
    <w:rsid w:val="001E0928"/>
    <w:rsid w:val="001E1964"/>
    <w:rsid w:val="001E20FE"/>
    <w:rsid w:val="001E25F6"/>
    <w:rsid w:val="001F047C"/>
    <w:rsid w:val="001F1473"/>
    <w:rsid w:val="001F38B5"/>
    <w:rsid w:val="00201946"/>
    <w:rsid w:val="00201B98"/>
    <w:rsid w:val="00202466"/>
    <w:rsid w:val="0020296F"/>
    <w:rsid w:val="00205108"/>
    <w:rsid w:val="0020663F"/>
    <w:rsid w:val="00210E8C"/>
    <w:rsid w:val="00222894"/>
    <w:rsid w:val="00226ACA"/>
    <w:rsid w:val="00233184"/>
    <w:rsid w:val="00234002"/>
    <w:rsid w:val="00235305"/>
    <w:rsid w:val="00235D38"/>
    <w:rsid w:val="00236AEB"/>
    <w:rsid w:val="00250B52"/>
    <w:rsid w:val="00253B47"/>
    <w:rsid w:val="002577D4"/>
    <w:rsid w:val="00257BB4"/>
    <w:rsid w:val="00260ADB"/>
    <w:rsid w:val="00263572"/>
    <w:rsid w:val="0026463C"/>
    <w:rsid w:val="002646F0"/>
    <w:rsid w:val="002653BF"/>
    <w:rsid w:val="002654CA"/>
    <w:rsid w:val="00266D91"/>
    <w:rsid w:val="002700A9"/>
    <w:rsid w:val="00272F6C"/>
    <w:rsid w:val="0027694D"/>
    <w:rsid w:val="00277F0E"/>
    <w:rsid w:val="00282E27"/>
    <w:rsid w:val="00282E90"/>
    <w:rsid w:val="00284A12"/>
    <w:rsid w:val="00284CDF"/>
    <w:rsid w:val="00285897"/>
    <w:rsid w:val="002861A3"/>
    <w:rsid w:val="002877F4"/>
    <w:rsid w:val="00291F22"/>
    <w:rsid w:val="00292175"/>
    <w:rsid w:val="00294C84"/>
    <w:rsid w:val="002A0714"/>
    <w:rsid w:val="002A31D2"/>
    <w:rsid w:val="002A5B02"/>
    <w:rsid w:val="002A7C14"/>
    <w:rsid w:val="002B4778"/>
    <w:rsid w:val="002B50C6"/>
    <w:rsid w:val="002B5313"/>
    <w:rsid w:val="002B6D3D"/>
    <w:rsid w:val="002C09E8"/>
    <w:rsid w:val="002C18B3"/>
    <w:rsid w:val="002C1EC6"/>
    <w:rsid w:val="002C594B"/>
    <w:rsid w:val="002C640A"/>
    <w:rsid w:val="002D10F7"/>
    <w:rsid w:val="002D22DA"/>
    <w:rsid w:val="002D2515"/>
    <w:rsid w:val="002D2AA1"/>
    <w:rsid w:val="002D4581"/>
    <w:rsid w:val="002E336B"/>
    <w:rsid w:val="002E4DF5"/>
    <w:rsid w:val="002E7138"/>
    <w:rsid w:val="002E719A"/>
    <w:rsid w:val="002F76D4"/>
    <w:rsid w:val="00300E9E"/>
    <w:rsid w:val="00303093"/>
    <w:rsid w:val="00304C34"/>
    <w:rsid w:val="003152A9"/>
    <w:rsid w:val="00317351"/>
    <w:rsid w:val="003233AC"/>
    <w:rsid w:val="00327EA9"/>
    <w:rsid w:val="00330C72"/>
    <w:rsid w:val="00332188"/>
    <w:rsid w:val="00332C8A"/>
    <w:rsid w:val="00334EE3"/>
    <w:rsid w:val="00335267"/>
    <w:rsid w:val="00351C50"/>
    <w:rsid w:val="00351FAE"/>
    <w:rsid w:val="00356CA1"/>
    <w:rsid w:val="00365420"/>
    <w:rsid w:val="003655D8"/>
    <w:rsid w:val="00367170"/>
    <w:rsid w:val="00374553"/>
    <w:rsid w:val="00375958"/>
    <w:rsid w:val="00377725"/>
    <w:rsid w:val="0037790D"/>
    <w:rsid w:val="00380716"/>
    <w:rsid w:val="0038420F"/>
    <w:rsid w:val="003868F8"/>
    <w:rsid w:val="00386F76"/>
    <w:rsid w:val="003A0F7C"/>
    <w:rsid w:val="003A1D1F"/>
    <w:rsid w:val="003A3276"/>
    <w:rsid w:val="003A48F5"/>
    <w:rsid w:val="003A4CD3"/>
    <w:rsid w:val="003A71EA"/>
    <w:rsid w:val="003B1C5C"/>
    <w:rsid w:val="003C15EA"/>
    <w:rsid w:val="003C1A9D"/>
    <w:rsid w:val="003C25A5"/>
    <w:rsid w:val="003C3B98"/>
    <w:rsid w:val="003D2290"/>
    <w:rsid w:val="003D356C"/>
    <w:rsid w:val="003D3B67"/>
    <w:rsid w:val="003D63E0"/>
    <w:rsid w:val="003D653E"/>
    <w:rsid w:val="003D72B1"/>
    <w:rsid w:val="003D7A07"/>
    <w:rsid w:val="003E0C0F"/>
    <w:rsid w:val="003E3547"/>
    <w:rsid w:val="003E35F4"/>
    <w:rsid w:val="003E731C"/>
    <w:rsid w:val="003E789C"/>
    <w:rsid w:val="003F5106"/>
    <w:rsid w:val="003F7199"/>
    <w:rsid w:val="00401D0F"/>
    <w:rsid w:val="004024A1"/>
    <w:rsid w:val="004026F7"/>
    <w:rsid w:val="00410932"/>
    <w:rsid w:val="00412B69"/>
    <w:rsid w:val="00413F29"/>
    <w:rsid w:val="00414A44"/>
    <w:rsid w:val="00415D6B"/>
    <w:rsid w:val="00416A3F"/>
    <w:rsid w:val="004172FD"/>
    <w:rsid w:val="004275BC"/>
    <w:rsid w:val="0043482C"/>
    <w:rsid w:val="00436210"/>
    <w:rsid w:val="0043776C"/>
    <w:rsid w:val="00440687"/>
    <w:rsid w:val="00442625"/>
    <w:rsid w:val="0044467D"/>
    <w:rsid w:val="004469F0"/>
    <w:rsid w:val="00450362"/>
    <w:rsid w:val="0045160A"/>
    <w:rsid w:val="00452744"/>
    <w:rsid w:val="00453E2F"/>
    <w:rsid w:val="004543F4"/>
    <w:rsid w:val="00455D6C"/>
    <w:rsid w:val="00457208"/>
    <w:rsid w:val="00463F39"/>
    <w:rsid w:val="00464451"/>
    <w:rsid w:val="00464681"/>
    <w:rsid w:val="00464700"/>
    <w:rsid w:val="0046474C"/>
    <w:rsid w:val="00465E83"/>
    <w:rsid w:val="00470D13"/>
    <w:rsid w:val="0047135D"/>
    <w:rsid w:val="004720FD"/>
    <w:rsid w:val="00475F9D"/>
    <w:rsid w:val="00480ADC"/>
    <w:rsid w:val="00483C17"/>
    <w:rsid w:val="00484E77"/>
    <w:rsid w:val="0048784C"/>
    <w:rsid w:val="00492D2F"/>
    <w:rsid w:val="004946C6"/>
    <w:rsid w:val="00497941"/>
    <w:rsid w:val="004A1409"/>
    <w:rsid w:val="004A3E91"/>
    <w:rsid w:val="004A42A8"/>
    <w:rsid w:val="004A4312"/>
    <w:rsid w:val="004A5469"/>
    <w:rsid w:val="004A6555"/>
    <w:rsid w:val="004B5EDF"/>
    <w:rsid w:val="004B7437"/>
    <w:rsid w:val="004C0EB1"/>
    <w:rsid w:val="004C4FAC"/>
    <w:rsid w:val="004D4755"/>
    <w:rsid w:val="004D56A5"/>
    <w:rsid w:val="004D5E62"/>
    <w:rsid w:val="004E156F"/>
    <w:rsid w:val="004E6EFB"/>
    <w:rsid w:val="004F077C"/>
    <w:rsid w:val="004F721B"/>
    <w:rsid w:val="005007BC"/>
    <w:rsid w:val="00500D21"/>
    <w:rsid w:val="00501631"/>
    <w:rsid w:val="00504E93"/>
    <w:rsid w:val="0051009A"/>
    <w:rsid w:val="00510D7C"/>
    <w:rsid w:val="00512520"/>
    <w:rsid w:val="00517CAC"/>
    <w:rsid w:val="00520EA7"/>
    <w:rsid w:val="005226C7"/>
    <w:rsid w:val="005250CC"/>
    <w:rsid w:val="005263A0"/>
    <w:rsid w:val="00526F64"/>
    <w:rsid w:val="00527690"/>
    <w:rsid w:val="0054087B"/>
    <w:rsid w:val="00541D7F"/>
    <w:rsid w:val="00543135"/>
    <w:rsid w:val="00545080"/>
    <w:rsid w:val="005451E9"/>
    <w:rsid w:val="0055013D"/>
    <w:rsid w:val="00551CB4"/>
    <w:rsid w:val="005554BE"/>
    <w:rsid w:val="00555B12"/>
    <w:rsid w:val="00560BF6"/>
    <w:rsid w:val="00565136"/>
    <w:rsid w:val="00570EB1"/>
    <w:rsid w:val="00572ADD"/>
    <w:rsid w:val="00573C2B"/>
    <w:rsid w:val="00574514"/>
    <w:rsid w:val="00574DDA"/>
    <w:rsid w:val="0057675E"/>
    <w:rsid w:val="00583CC6"/>
    <w:rsid w:val="00585730"/>
    <w:rsid w:val="00587403"/>
    <w:rsid w:val="005926F7"/>
    <w:rsid w:val="00592810"/>
    <w:rsid w:val="00593C1F"/>
    <w:rsid w:val="005A3B89"/>
    <w:rsid w:val="005A4CF9"/>
    <w:rsid w:val="005B0105"/>
    <w:rsid w:val="005B59B4"/>
    <w:rsid w:val="005B62C7"/>
    <w:rsid w:val="005C6737"/>
    <w:rsid w:val="005C6C8C"/>
    <w:rsid w:val="005C7287"/>
    <w:rsid w:val="005C7C57"/>
    <w:rsid w:val="005D01F6"/>
    <w:rsid w:val="005D0658"/>
    <w:rsid w:val="005D2EF7"/>
    <w:rsid w:val="005D3B6E"/>
    <w:rsid w:val="005D4564"/>
    <w:rsid w:val="005D5342"/>
    <w:rsid w:val="005D5A5B"/>
    <w:rsid w:val="005D7D3A"/>
    <w:rsid w:val="005E1B2A"/>
    <w:rsid w:val="005E3311"/>
    <w:rsid w:val="005E4172"/>
    <w:rsid w:val="005E643B"/>
    <w:rsid w:val="005E68C8"/>
    <w:rsid w:val="005F02EF"/>
    <w:rsid w:val="006009B7"/>
    <w:rsid w:val="00607012"/>
    <w:rsid w:val="00616AEA"/>
    <w:rsid w:val="00623E7A"/>
    <w:rsid w:val="00624BF8"/>
    <w:rsid w:val="0062655F"/>
    <w:rsid w:val="006319FC"/>
    <w:rsid w:val="00633605"/>
    <w:rsid w:val="006360FA"/>
    <w:rsid w:val="0064207E"/>
    <w:rsid w:val="00644A09"/>
    <w:rsid w:val="006472B9"/>
    <w:rsid w:val="006479E7"/>
    <w:rsid w:val="00652E2C"/>
    <w:rsid w:val="00654293"/>
    <w:rsid w:val="0065491F"/>
    <w:rsid w:val="00657E26"/>
    <w:rsid w:val="006650FE"/>
    <w:rsid w:val="006666A5"/>
    <w:rsid w:val="006671DC"/>
    <w:rsid w:val="006720E6"/>
    <w:rsid w:val="00673604"/>
    <w:rsid w:val="006738DE"/>
    <w:rsid w:val="00673A9F"/>
    <w:rsid w:val="00675661"/>
    <w:rsid w:val="00676304"/>
    <w:rsid w:val="00681ECC"/>
    <w:rsid w:val="006840BA"/>
    <w:rsid w:val="00685A2A"/>
    <w:rsid w:val="00697BFB"/>
    <w:rsid w:val="006A0367"/>
    <w:rsid w:val="006A28F1"/>
    <w:rsid w:val="006A2D9D"/>
    <w:rsid w:val="006A35B4"/>
    <w:rsid w:val="006B0A63"/>
    <w:rsid w:val="006B2937"/>
    <w:rsid w:val="006B3065"/>
    <w:rsid w:val="006B4422"/>
    <w:rsid w:val="006B456B"/>
    <w:rsid w:val="006B5932"/>
    <w:rsid w:val="006B79FC"/>
    <w:rsid w:val="006C26F7"/>
    <w:rsid w:val="006C33FC"/>
    <w:rsid w:val="006C3DAD"/>
    <w:rsid w:val="006C4DBB"/>
    <w:rsid w:val="006C5AF2"/>
    <w:rsid w:val="006C6325"/>
    <w:rsid w:val="006D029F"/>
    <w:rsid w:val="006D5BB8"/>
    <w:rsid w:val="006D7A8B"/>
    <w:rsid w:val="006E0A36"/>
    <w:rsid w:val="006E2CD0"/>
    <w:rsid w:val="006E6DA9"/>
    <w:rsid w:val="006F01B2"/>
    <w:rsid w:val="006F01B7"/>
    <w:rsid w:val="006F12F4"/>
    <w:rsid w:val="006F1FF6"/>
    <w:rsid w:val="006F5A42"/>
    <w:rsid w:val="006F6A78"/>
    <w:rsid w:val="00712A9A"/>
    <w:rsid w:val="00714B99"/>
    <w:rsid w:val="007168D8"/>
    <w:rsid w:val="00716A2B"/>
    <w:rsid w:val="0072094A"/>
    <w:rsid w:val="00721889"/>
    <w:rsid w:val="007226BC"/>
    <w:rsid w:val="00722F14"/>
    <w:rsid w:val="00724A5B"/>
    <w:rsid w:val="007270E8"/>
    <w:rsid w:val="00733430"/>
    <w:rsid w:val="00734B77"/>
    <w:rsid w:val="00736201"/>
    <w:rsid w:val="007362A5"/>
    <w:rsid w:val="00740A54"/>
    <w:rsid w:val="00745F37"/>
    <w:rsid w:val="00747BF3"/>
    <w:rsid w:val="00750DD3"/>
    <w:rsid w:val="007511BB"/>
    <w:rsid w:val="00751DD9"/>
    <w:rsid w:val="007561AD"/>
    <w:rsid w:val="0075756C"/>
    <w:rsid w:val="007616A5"/>
    <w:rsid w:val="00765086"/>
    <w:rsid w:val="007736E1"/>
    <w:rsid w:val="0078065B"/>
    <w:rsid w:val="00781966"/>
    <w:rsid w:val="00785EE2"/>
    <w:rsid w:val="007875DE"/>
    <w:rsid w:val="00787C22"/>
    <w:rsid w:val="00790C01"/>
    <w:rsid w:val="007913E8"/>
    <w:rsid w:val="0079315E"/>
    <w:rsid w:val="00795EED"/>
    <w:rsid w:val="007A0AA2"/>
    <w:rsid w:val="007A44CE"/>
    <w:rsid w:val="007B0158"/>
    <w:rsid w:val="007C32FA"/>
    <w:rsid w:val="007C707D"/>
    <w:rsid w:val="007D2D4E"/>
    <w:rsid w:val="007D4092"/>
    <w:rsid w:val="007E1B5F"/>
    <w:rsid w:val="007E2969"/>
    <w:rsid w:val="007E2CE8"/>
    <w:rsid w:val="007E30A8"/>
    <w:rsid w:val="007E33FD"/>
    <w:rsid w:val="007E389F"/>
    <w:rsid w:val="007F19F5"/>
    <w:rsid w:val="007F38A4"/>
    <w:rsid w:val="007F598F"/>
    <w:rsid w:val="007F68E5"/>
    <w:rsid w:val="007F6E6D"/>
    <w:rsid w:val="00801A94"/>
    <w:rsid w:val="00804135"/>
    <w:rsid w:val="0080418A"/>
    <w:rsid w:val="008053A6"/>
    <w:rsid w:val="00806D80"/>
    <w:rsid w:val="00807313"/>
    <w:rsid w:val="00814BE0"/>
    <w:rsid w:val="00824609"/>
    <w:rsid w:val="00825986"/>
    <w:rsid w:val="00830400"/>
    <w:rsid w:val="00830B89"/>
    <w:rsid w:val="00830E05"/>
    <w:rsid w:val="00832351"/>
    <w:rsid w:val="00832698"/>
    <w:rsid w:val="008330B0"/>
    <w:rsid w:val="00833E8E"/>
    <w:rsid w:val="00834090"/>
    <w:rsid w:val="00835082"/>
    <w:rsid w:val="0084065E"/>
    <w:rsid w:val="00840741"/>
    <w:rsid w:val="00847494"/>
    <w:rsid w:val="00854DC8"/>
    <w:rsid w:val="00854EC8"/>
    <w:rsid w:val="00856D70"/>
    <w:rsid w:val="00870C55"/>
    <w:rsid w:val="00873142"/>
    <w:rsid w:val="00877205"/>
    <w:rsid w:val="008773D0"/>
    <w:rsid w:val="00884153"/>
    <w:rsid w:val="0088690A"/>
    <w:rsid w:val="008922BA"/>
    <w:rsid w:val="008937F9"/>
    <w:rsid w:val="00896CBA"/>
    <w:rsid w:val="00897149"/>
    <w:rsid w:val="00897781"/>
    <w:rsid w:val="008A2E2F"/>
    <w:rsid w:val="008A65A3"/>
    <w:rsid w:val="008A6782"/>
    <w:rsid w:val="008A6F98"/>
    <w:rsid w:val="008B267C"/>
    <w:rsid w:val="008B32AB"/>
    <w:rsid w:val="008B3854"/>
    <w:rsid w:val="008B5FCF"/>
    <w:rsid w:val="008B66C6"/>
    <w:rsid w:val="008B785B"/>
    <w:rsid w:val="008C17D8"/>
    <w:rsid w:val="008C642D"/>
    <w:rsid w:val="008C7141"/>
    <w:rsid w:val="008D5080"/>
    <w:rsid w:val="008D59E7"/>
    <w:rsid w:val="008D636F"/>
    <w:rsid w:val="008D7769"/>
    <w:rsid w:val="008E2482"/>
    <w:rsid w:val="008E3259"/>
    <w:rsid w:val="008E4928"/>
    <w:rsid w:val="008E63A9"/>
    <w:rsid w:val="008F7798"/>
    <w:rsid w:val="009009FA"/>
    <w:rsid w:val="009029F1"/>
    <w:rsid w:val="00903AFE"/>
    <w:rsid w:val="00907075"/>
    <w:rsid w:val="009077D7"/>
    <w:rsid w:val="009117CE"/>
    <w:rsid w:val="00915DDA"/>
    <w:rsid w:val="0092215B"/>
    <w:rsid w:val="0092366F"/>
    <w:rsid w:val="00923ABF"/>
    <w:rsid w:val="00924EC8"/>
    <w:rsid w:val="00930B84"/>
    <w:rsid w:val="00930D17"/>
    <w:rsid w:val="009339CC"/>
    <w:rsid w:val="00933F05"/>
    <w:rsid w:val="00936EEF"/>
    <w:rsid w:val="009420BB"/>
    <w:rsid w:val="009426E7"/>
    <w:rsid w:val="009448E2"/>
    <w:rsid w:val="009467AA"/>
    <w:rsid w:val="00947B30"/>
    <w:rsid w:val="00950E5A"/>
    <w:rsid w:val="009517B7"/>
    <w:rsid w:val="00953ECC"/>
    <w:rsid w:val="009540E9"/>
    <w:rsid w:val="00955C9B"/>
    <w:rsid w:val="00955FFA"/>
    <w:rsid w:val="00957288"/>
    <w:rsid w:val="00957B54"/>
    <w:rsid w:val="0096768D"/>
    <w:rsid w:val="009743A5"/>
    <w:rsid w:val="00976908"/>
    <w:rsid w:val="00980C52"/>
    <w:rsid w:val="00981F9B"/>
    <w:rsid w:val="00984FF2"/>
    <w:rsid w:val="0098674A"/>
    <w:rsid w:val="0099134A"/>
    <w:rsid w:val="00992E87"/>
    <w:rsid w:val="00997781"/>
    <w:rsid w:val="00997D1C"/>
    <w:rsid w:val="009A11BE"/>
    <w:rsid w:val="009A3209"/>
    <w:rsid w:val="009A40BF"/>
    <w:rsid w:val="009A55F8"/>
    <w:rsid w:val="009C00BD"/>
    <w:rsid w:val="009C13B4"/>
    <w:rsid w:val="009C1AE9"/>
    <w:rsid w:val="009C318F"/>
    <w:rsid w:val="009C4041"/>
    <w:rsid w:val="009D296B"/>
    <w:rsid w:val="009D2B07"/>
    <w:rsid w:val="009D2D13"/>
    <w:rsid w:val="009D3772"/>
    <w:rsid w:val="009D3C4A"/>
    <w:rsid w:val="009F01C0"/>
    <w:rsid w:val="009F4AB7"/>
    <w:rsid w:val="009F4FFC"/>
    <w:rsid w:val="009F79B6"/>
    <w:rsid w:val="00A00646"/>
    <w:rsid w:val="00A00F60"/>
    <w:rsid w:val="00A0478C"/>
    <w:rsid w:val="00A1179E"/>
    <w:rsid w:val="00A14640"/>
    <w:rsid w:val="00A21960"/>
    <w:rsid w:val="00A22A8A"/>
    <w:rsid w:val="00A2371A"/>
    <w:rsid w:val="00A23FCC"/>
    <w:rsid w:val="00A27A02"/>
    <w:rsid w:val="00A3446B"/>
    <w:rsid w:val="00A41C19"/>
    <w:rsid w:val="00A4230D"/>
    <w:rsid w:val="00A4269A"/>
    <w:rsid w:val="00A43372"/>
    <w:rsid w:val="00A440EF"/>
    <w:rsid w:val="00A45F25"/>
    <w:rsid w:val="00A50D97"/>
    <w:rsid w:val="00A534F5"/>
    <w:rsid w:val="00A56F90"/>
    <w:rsid w:val="00A60FCB"/>
    <w:rsid w:val="00A61045"/>
    <w:rsid w:val="00A63549"/>
    <w:rsid w:val="00A67BB9"/>
    <w:rsid w:val="00A70A4A"/>
    <w:rsid w:val="00A710F1"/>
    <w:rsid w:val="00A80CBE"/>
    <w:rsid w:val="00A849F0"/>
    <w:rsid w:val="00A8583D"/>
    <w:rsid w:val="00A87A46"/>
    <w:rsid w:val="00A87A7C"/>
    <w:rsid w:val="00A906B7"/>
    <w:rsid w:val="00A90F06"/>
    <w:rsid w:val="00A94256"/>
    <w:rsid w:val="00AA02C1"/>
    <w:rsid w:val="00AA1073"/>
    <w:rsid w:val="00AA1699"/>
    <w:rsid w:val="00AA2249"/>
    <w:rsid w:val="00AA29CC"/>
    <w:rsid w:val="00AA3253"/>
    <w:rsid w:val="00AA5FED"/>
    <w:rsid w:val="00AB4018"/>
    <w:rsid w:val="00AB4117"/>
    <w:rsid w:val="00AB5C03"/>
    <w:rsid w:val="00AB5F6E"/>
    <w:rsid w:val="00AC0927"/>
    <w:rsid w:val="00AC10F6"/>
    <w:rsid w:val="00AC1666"/>
    <w:rsid w:val="00AC5E2D"/>
    <w:rsid w:val="00AC6F6E"/>
    <w:rsid w:val="00AC7A27"/>
    <w:rsid w:val="00AD2530"/>
    <w:rsid w:val="00AD3723"/>
    <w:rsid w:val="00AD78A5"/>
    <w:rsid w:val="00AE06B9"/>
    <w:rsid w:val="00AE6B1A"/>
    <w:rsid w:val="00AE746F"/>
    <w:rsid w:val="00AF21ED"/>
    <w:rsid w:val="00AF5064"/>
    <w:rsid w:val="00AF5A87"/>
    <w:rsid w:val="00B01E76"/>
    <w:rsid w:val="00B076C8"/>
    <w:rsid w:val="00B12329"/>
    <w:rsid w:val="00B13C06"/>
    <w:rsid w:val="00B13D99"/>
    <w:rsid w:val="00B1534A"/>
    <w:rsid w:val="00B16430"/>
    <w:rsid w:val="00B23E16"/>
    <w:rsid w:val="00B34691"/>
    <w:rsid w:val="00B36E36"/>
    <w:rsid w:val="00B405D7"/>
    <w:rsid w:val="00B4086D"/>
    <w:rsid w:val="00B44501"/>
    <w:rsid w:val="00B449E2"/>
    <w:rsid w:val="00B509EF"/>
    <w:rsid w:val="00B50A20"/>
    <w:rsid w:val="00B52282"/>
    <w:rsid w:val="00B57487"/>
    <w:rsid w:val="00B57A69"/>
    <w:rsid w:val="00B6250A"/>
    <w:rsid w:val="00B62CF6"/>
    <w:rsid w:val="00B65AB1"/>
    <w:rsid w:val="00B710D9"/>
    <w:rsid w:val="00B71395"/>
    <w:rsid w:val="00B733E9"/>
    <w:rsid w:val="00B84927"/>
    <w:rsid w:val="00B858FE"/>
    <w:rsid w:val="00B90718"/>
    <w:rsid w:val="00B90947"/>
    <w:rsid w:val="00B962DB"/>
    <w:rsid w:val="00BA0D82"/>
    <w:rsid w:val="00BA240A"/>
    <w:rsid w:val="00BB24F2"/>
    <w:rsid w:val="00BB3838"/>
    <w:rsid w:val="00BB58E1"/>
    <w:rsid w:val="00BB66D9"/>
    <w:rsid w:val="00BB6C30"/>
    <w:rsid w:val="00BC48D0"/>
    <w:rsid w:val="00BC5010"/>
    <w:rsid w:val="00BC5A2F"/>
    <w:rsid w:val="00BC659B"/>
    <w:rsid w:val="00BD7882"/>
    <w:rsid w:val="00BE11A0"/>
    <w:rsid w:val="00BE31E6"/>
    <w:rsid w:val="00BF23B6"/>
    <w:rsid w:val="00BF3E8A"/>
    <w:rsid w:val="00BF4DB2"/>
    <w:rsid w:val="00BF4EA8"/>
    <w:rsid w:val="00C02409"/>
    <w:rsid w:val="00C028ED"/>
    <w:rsid w:val="00C03DCE"/>
    <w:rsid w:val="00C049A6"/>
    <w:rsid w:val="00C06658"/>
    <w:rsid w:val="00C13A23"/>
    <w:rsid w:val="00C14626"/>
    <w:rsid w:val="00C14695"/>
    <w:rsid w:val="00C14701"/>
    <w:rsid w:val="00C15B17"/>
    <w:rsid w:val="00C201CD"/>
    <w:rsid w:val="00C21313"/>
    <w:rsid w:val="00C253E6"/>
    <w:rsid w:val="00C26075"/>
    <w:rsid w:val="00C267E5"/>
    <w:rsid w:val="00C2701C"/>
    <w:rsid w:val="00C27029"/>
    <w:rsid w:val="00C30544"/>
    <w:rsid w:val="00C335E7"/>
    <w:rsid w:val="00C343A0"/>
    <w:rsid w:val="00C37395"/>
    <w:rsid w:val="00C37A20"/>
    <w:rsid w:val="00C4113F"/>
    <w:rsid w:val="00C46438"/>
    <w:rsid w:val="00C50C03"/>
    <w:rsid w:val="00C50CB6"/>
    <w:rsid w:val="00C51174"/>
    <w:rsid w:val="00C52358"/>
    <w:rsid w:val="00C54D0B"/>
    <w:rsid w:val="00C610E4"/>
    <w:rsid w:val="00C62364"/>
    <w:rsid w:val="00C6310A"/>
    <w:rsid w:val="00C646ED"/>
    <w:rsid w:val="00C71032"/>
    <w:rsid w:val="00C71AE9"/>
    <w:rsid w:val="00C73FD3"/>
    <w:rsid w:val="00C75645"/>
    <w:rsid w:val="00C76859"/>
    <w:rsid w:val="00C76B0D"/>
    <w:rsid w:val="00C76F8B"/>
    <w:rsid w:val="00C77050"/>
    <w:rsid w:val="00C77798"/>
    <w:rsid w:val="00C810DE"/>
    <w:rsid w:val="00C81457"/>
    <w:rsid w:val="00C8272C"/>
    <w:rsid w:val="00C83C21"/>
    <w:rsid w:val="00C85387"/>
    <w:rsid w:val="00C85FE4"/>
    <w:rsid w:val="00C8677D"/>
    <w:rsid w:val="00C90243"/>
    <w:rsid w:val="00C92750"/>
    <w:rsid w:val="00C97874"/>
    <w:rsid w:val="00CA2590"/>
    <w:rsid w:val="00CA31A1"/>
    <w:rsid w:val="00CA6B0B"/>
    <w:rsid w:val="00CA6D1E"/>
    <w:rsid w:val="00CA6EDB"/>
    <w:rsid w:val="00CA7B12"/>
    <w:rsid w:val="00CB0386"/>
    <w:rsid w:val="00CB234A"/>
    <w:rsid w:val="00CB29C0"/>
    <w:rsid w:val="00CB3187"/>
    <w:rsid w:val="00CB3CA2"/>
    <w:rsid w:val="00CB3D21"/>
    <w:rsid w:val="00CB591C"/>
    <w:rsid w:val="00CB5A00"/>
    <w:rsid w:val="00CB7451"/>
    <w:rsid w:val="00CC16BB"/>
    <w:rsid w:val="00CC2023"/>
    <w:rsid w:val="00CC2B52"/>
    <w:rsid w:val="00CC4019"/>
    <w:rsid w:val="00CC6730"/>
    <w:rsid w:val="00CD1243"/>
    <w:rsid w:val="00CD1499"/>
    <w:rsid w:val="00CD2999"/>
    <w:rsid w:val="00CD735D"/>
    <w:rsid w:val="00CE1986"/>
    <w:rsid w:val="00CE6807"/>
    <w:rsid w:val="00CE7208"/>
    <w:rsid w:val="00CF0FDD"/>
    <w:rsid w:val="00CF2E0E"/>
    <w:rsid w:val="00CF4C36"/>
    <w:rsid w:val="00D00836"/>
    <w:rsid w:val="00D07A90"/>
    <w:rsid w:val="00D138D3"/>
    <w:rsid w:val="00D16072"/>
    <w:rsid w:val="00D32C29"/>
    <w:rsid w:val="00D3312E"/>
    <w:rsid w:val="00D338E4"/>
    <w:rsid w:val="00D34F1D"/>
    <w:rsid w:val="00D36C65"/>
    <w:rsid w:val="00D37103"/>
    <w:rsid w:val="00D4061F"/>
    <w:rsid w:val="00D41441"/>
    <w:rsid w:val="00D42A7E"/>
    <w:rsid w:val="00D50A1D"/>
    <w:rsid w:val="00D56431"/>
    <w:rsid w:val="00D56813"/>
    <w:rsid w:val="00D56A55"/>
    <w:rsid w:val="00D56DC1"/>
    <w:rsid w:val="00D673C2"/>
    <w:rsid w:val="00D67987"/>
    <w:rsid w:val="00D7103B"/>
    <w:rsid w:val="00D71517"/>
    <w:rsid w:val="00D723A6"/>
    <w:rsid w:val="00D72DB9"/>
    <w:rsid w:val="00D73354"/>
    <w:rsid w:val="00D74130"/>
    <w:rsid w:val="00D7475B"/>
    <w:rsid w:val="00D77608"/>
    <w:rsid w:val="00D77E4A"/>
    <w:rsid w:val="00D81BB9"/>
    <w:rsid w:val="00D856C3"/>
    <w:rsid w:val="00D860B3"/>
    <w:rsid w:val="00D86789"/>
    <w:rsid w:val="00D91530"/>
    <w:rsid w:val="00D91795"/>
    <w:rsid w:val="00D92625"/>
    <w:rsid w:val="00D932E3"/>
    <w:rsid w:val="00D94C4E"/>
    <w:rsid w:val="00D96BAD"/>
    <w:rsid w:val="00DA4134"/>
    <w:rsid w:val="00DA4AFB"/>
    <w:rsid w:val="00DA5255"/>
    <w:rsid w:val="00DA6DD2"/>
    <w:rsid w:val="00DA6E2B"/>
    <w:rsid w:val="00DB1B0E"/>
    <w:rsid w:val="00DB1C64"/>
    <w:rsid w:val="00DB59A6"/>
    <w:rsid w:val="00DB5DCA"/>
    <w:rsid w:val="00DB6193"/>
    <w:rsid w:val="00DC152A"/>
    <w:rsid w:val="00DC191D"/>
    <w:rsid w:val="00DC2A4D"/>
    <w:rsid w:val="00DD148E"/>
    <w:rsid w:val="00DD4977"/>
    <w:rsid w:val="00DD5A25"/>
    <w:rsid w:val="00DE1F22"/>
    <w:rsid w:val="00DE347F"/>
    <w:rsid w:val="00DE5C62"/>
    <w:rsid w:val="00DE78F4"/>
    <w:rsid w:val="00DF21FB"/>
    <w:rsid w:val="00DF3C9B"/>
    <w:rsid w:val="00DF55AF"/>
    <w:rsid w:val="00E01A02"/>
    <w:rsid w:val="00E04E99"/>
    <w:rsid w:val="00E05CB3"/>
    <w:rsid w:val="00E0684D"/>
    <w:rsid w:val="00E1107C"/>
    <w:rsid w:val="00E11125"/>
    <w:rsid w:val="00E119A1"/>
    <w:rsid w:val="00E11F88"/>
    <w:rsid w:val="00E13469"/>
    <w:rsid w:val="00E13C9E"/>
    <w:rsid w:val="00E14882"/>
    <w:rsid w:val="00E17C35"/>
    <w:rsid w:val="00E22B5E"/>
    <w:rsid w:val="00E22C22"/>
    <w:rsid w:val="00E25454"/>
    <w:rsid w:val="00E26384"/>
    <w:rsid w:val="00E3074E"/>
    <w:rsid w:val="00E3285F"/>
    <w:rsid w:val="00E35FD5"/>
    <w:rsid w:val="00E37493"/>
    <w:rsid w:val="00E37D69"/>
    <w:rsid w:val="00E4021B"/>
    <w:rsid w:val="00E405B6"/>
    <w:rsid w:val="00E43244"/>
    <w:rsid w:val="00E44185"/>
    <w:rsid w:val="00E44E42"/>
    <w:rsid w:val="00E47C3C"/>
    <w:rsid w:val="00E56BD7"/>
    <w:rsid w:val="00E6089F"/>
    <w:rsid w:val="00E6344B"/>
    <w:rsid w:val="00E646F9"/>
    <w:rsid w:val="00E64F0B"/>
    <w:rsid w:val="00E659D6"/>
    <w:rsid w:val="00E65F53"/>
    <w:rsid w:val="00E663DA"/>
    <w:rsid w:val="00E664C0"/>
    <w:rsid w:val="00E67898"/>
    <w:rsid w:val="00E70488"/>
    <w:rsid w:val="00E718B8"/>
    <w:rsid w:val="00E719FA"/>
    <w:rsid w:val="00E747AD"/>
    <w:rsid w:val="00E752DF"/>
    <w:rsid w:val="00E75BA7"/>
    <w:rsid w:val="00E76275"/>
    <w:rsid w:val="00E767B8"/>
    <w:rsid w:val="00E77A4F"/>
    <w:rsid w:val="00E81D16"/>
    <w:rsid w:val="00E87030"/>
    <w:rsid w:val="00E90803"/>
    <w:rsid w:val="00E92153"/>
    <w:rsid w:val="00E92AA6"/>
    <w:rsid w:val="00E92F1C"/>
    <w:rsid w:val="00E93C6E"/>
    <w:rsid w:val="00E94C14"/>
    <w:rsid w:val="00E96F6C"/>
    <w:rsid w:val="00EA0D99"/>
    <w:rsid w:val="00EA33D2"/>
    <w:rsid w:val="00EA5A48"/>
    <w:rsid w:val="00EB042E"/>
    <w:rsid w:val="00EB1B18"/>
    <w:rsid w:val="00EB25BE"/>
    <w:rsid w:val="00EB304A"/>
    <w:rsid w:val="00EB6BE3"/>
    <w:rsid w:val="00EB718A"/>
    <w:rsid w:val="00EC424E"/>
    <w:rsid w:val="00EC42E9"/>
    <w:rsid w:val="00EC6F0C"/>
    <w:rsid w:val="00EC781F"/>
    <w:rsid w:val="00ED09A9"/>
    <w:rsid w:val="00ED2419"/>
    <w:rsid w:val="00ED43A3"/>
    <w:rsid w:val="00ED6305"/>
    <w:rsid w:val="00ED7579"/>
    <w:rsid w:val="00EE2AAC"/>
    <w:rsid w:val="00EE32E1"/>
    <w:rsid w:val="00EE510A"/>
    <w:rsid w:val="00EE572F"/>
    <w:rsid w:val="00EF3C42"/>
    <w:rsid w:val="00EF4FF0"/>
    <w:rsid w:val="00F02204"/>
    <w:rsid w:val="00F026D2"/>
    <w:rsid w:val="00F0360A"/>
    <w:rsid w:val="00F04FFB"/>
    <w:rsid w:val="00F06B01"/>
    <w:rsid w:val="00F12C4F"/>
    <w:rsid w:val="00F154B8"/>
    <w:rsid w:val="00F27ED3"/>
    <w:rsid w:val="00F306CB"/>
    <w:rsid w:val="00F34189"/>
    <w:rsid w:val="00F36723"/>
    <w:rsid w:val="00F37DB1"/>
    <w:rsid w:val="00F402E3"/>
    <w:rsid w:val="00F42349"/>
    <w:rsid w:val="00F43C61"/>
    <w:rsid w:val="00F44196"/>
    <w:rsid w:val="00F500C3"/>
    <w:rsid w:val="00F50FA5"/>
    <w:rsid w:val="00F52544"/>
    <w:rsid w:val="00F55177"/>
    <w:rsid w:val="00F56EF3"/>
    <w:rsid w:val="00F63FDA"/>
    <w:rsid w:val="00F64FAC"/>
    <w:rsid w:val="00F70EE1"/>
    <w:rsid w:val="00F7179E"/>
    <w:rsid w:val="00F727E6"/>
    <w:rsid w:val="00F72B4E"/>
    <w:rsid w:val="00F807BC"/>
    <w:rsid w:val="00F80B82"/>
    <w:rsid w:val="00F81167"/>
    <w:rsid w:val="00F81B12"/>
    <w:rsid w:val="00F8229D"/>
    <w:rsid w:val="00F844AC"/>
    <w:rsid w:val="00F90B32"/>
    <w:rsid w:val="00F93997"/>
    <w:rsid w:val="00F953ED"/>
    <w:rsid w:val="00F978C6"/>
    <w:rsid w:val="00FA0A38"/>
    <w:rsid w:val="00FA33A5"/>
    <w:rsid w:val="00FA6DD4"/>
    <w:rsid w:val="00FA7DB9"/>
    <w:rsid w:val="00FB0716"/>
    <w:rsid w:val="00FB0758"/>
    <w:rsid w:val="00FB538E"/>
    <w:rsid w:val="00FC0BB1"/>
    <w:rsid w:val="00FC1099"/>
    <w:rsid w:val="00FC2923"/>
    <w:rsid w:val="00FC6B8E"/>
    <w:rsid w:val="00FD1454"/>
    <w:rsid w:val="00FD3EAB"/>
    <w:rsid w:val="00FE0029"/>
    <w:rsid w:val="00FE21D0"/>
    <w:rsid w:val="00FE2CC1"/>
    <w:rsid w:val="00FE75BC"/>
    <w:rsid w:val="00FF40F0"/>
    <w:rsid w:val="00FF5702"/>
    <w:rsid w:val="015A5302"/>
    <w:rsid w:val="04A35996"/>
    <w:rsid w:val="06816AD5"/>
    <w:rsid w:val="07557711"/>
    <w:rsid w:val="0B5006A7"/>
    <w:rsid w:val="0FAB2B5A"/>
    <w:rsid w:val="192449E3"/>
    <w:rsid w:val="1B6961ED"/>
    <w:rsid w:val="1C824D59"/>
    <w:rsid w:val="23DE5D6A"/>
    <w:rsid w:val="27B91733"/>
    <w:rsid w:val="29097430"/>
    <w:rsid w:val="2F84691E"/>
    <w:rsid w:val="2FA84836"/>
    <w:rsid w:val="304761DB"/>
    <w:rsid w:val="30B74978"/>
    <w:rsid w:val="32002B6B"/>
    <w:rsid w:val="35571A57"/>
    <w:rsid w:val="37136E41"/>
    <w:rsid w:val="3D446DDE"/>
    <w:rsid w:val="3E4D7573"/>
    <w:rsid w:val="42210AE6"/>
    <w:rsid w:val="481A7270"/>
    <w:rsid w:val="485C3B88"/>
    <w:rsid w:val="487F0B87"/>
    <w:rsid w:val="48AA7B37"/>
    <w:rsid w:val="4ADF6FEA"/>
    <w:rsid w:val="4BFD290B"/>
    <w:rsid w:val="4EC646FE"/>
    <w:rsid w:val="51261604"/>
    <w:rsid w:val="56B849F9"/>
    <w:rsid w:val="59F472D6"/>
    <w:rsid w:val="5BA14377"/>
    <w:rsid w:val="5E4C0847"/>
    <w:rsid w:val="62431407"/>
    <w:rsid w:val="64B74581"/>
    <w:rsid w:val="65046244"/>
    <w:rsid w:val="68FB3A0F"/>
    <w:rsid w:val="6A12516E"/>
    <w:rsid w:val="6B7B4D86"/>
    <w:rsid w:val="6C2424F7"/>
    <w:rsid w:val="6C6D6B09"/>
    <w:rsid w:val="6CCD63BD"/>
    <w:rsid w:val="725507B6"/>
    <w:rsid w:val="75676BF1"/>
    <w:rsid w:val="7B1448AF"/>
    <w:rsid w:val="7C804D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zh-CN" w:bidi="ar-SA"/>
    </w:rPr>
  </w:style>
  <w:style w:type="paragraph" w:styleId="2">
    <w:name w:val="heading 1"/>
    <w:basedOn w:val="1"/>
    <w:qFormat/>
    <w:uiPriority w:val="1"/>
    <w:pPr>
      <w:spacing w:before="54"/>
      <w:ind w:right="92"/>
      <w:jc w:val="center"/>
      <w:outlineLvl w:val="0"/>
    </w:pPr>
    <w:rPr>
      <w:rFonts w:ascii="黑体" w:hAnsi="黑体" w:eastAsia="黑体" w:cs="黑体"/>
      <w:sz w:val="32"/>
      <w:szCs w:val="32"/>
    </w:rPr>
  </w:style>
  <w:style w:type="paragraph" w:styleId="3">
    <w:name w:val="heading 2"/>
    <w:basedOn w:val="1"/>
    <w:next w:val="1"/>
    <w:link w:val="35"/>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semiHidden/>
    <w:unhideWhenUsed/>
    <w:qFormat/>
    <w:uiPriority w:val="0"/>
    <w:pPr>
      <w:spacing w:beforeAutospacing="1" w:afterAutospacing="1"/>
      <w:outlineLvl w:val="2"/>
    </w:pPr>
    <w:rPr>
      <w:rFonts w:hint="eastAsia" w:cs="Times New Roman"/>
      <w:b/>
      <w:bCs/>
      <w:sz w:val="27"/>
      <w:szCs w:val="27"/>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5">
    <w:name w:val="Body Text"/>
    <w:basedOn w:val="1"/>
    <w:autoRedefine/>
    <w:qFormat/>
    <w:uiPriority w:val="1"/>
    <w:pPr>
      <w:tabs>
        <w:tab w:val="left" w:pos="1134"/>
      </w:tabs>
      <w:spacing w:line="320" w:lineRule="exact"/>
      <w:ind w:left="-6" w:right="227" w:firstLine="410" w:firstLineChars="200"/>
    </w:pPr>
    <w:rPr>
      <w:spacing w:val="-5"/>
      <w:sz w:val="21"/>
      <w:szCs w:val="21"/>
    </w:rPr>
  </w:style>
  <w:style w:type="paragraph" w:styleId="6">
    <w:name w:val="toc 3"/>
    <w:basedOn w:val="1"/>
    <w:next w:val="1"/>
    <w:autoRedefine/>
    <w:unhideWhenUsed/>
    <w:qFormat/>
    <w:uiPriority w:val="39"/>
    <w:pPr>
      <w:widowControl/>
      <w:autoSpaceDE/>
      <w:autoSpaceDN/>
      <w:spacing w:after="100" w:line="259" w:lineRule="auto"/>
      <w:ind w:left="440"/>
    </w:pPr>
    <w:rPr>
      <w:rFonts w:cs="Times New Roman" w:asciiTheme="minorHAnsi" w:hAnsiTheme="minorHAnsi" w:eastAsiaTheme="minorEastAsia"/>
    </w:rPr>
  </w:style>
  <w:style w:type="paragraph" w:styleId="7">
    <w:name w:val="Date"/>
    <w:basedOn w:val="1"/>
    <w:next w:val="1"/>
    <w:link w:val="41"/>
    <w:autoRedefine/>
    <w:qFormat/>
    <w:uiPriority w:val="0"/>
    <w:pPr>
      <w:ind w:left="100" w:leftChars="2500"/>
    </w:pPr>
  </w:style>
  <w:style w:type="paragraph" w:styleId="8">
    <w:name w:val="endnote text"/>
    <w:basedOn w:val="1"/>
    <w:link w:val="26"/>
    <w:autoRedefine/>
    <w:qFormat/>
    <w:uiPriority w:val="0"/>
    <w:pPr>
      <w:snapToGrid w:val="0"/>
    </w:pPr>
  </w:style>
  <w:style w:type="paragraph" w:styleId="9">
    <w:name w:val="footer"/>
    <w:basedOn w:val="1"/>
    <w:link w:val="68"/>
    <w:autoRedefine/>
    <w:qFormat/>
    <w:uiPriority w:val="99"/>
    <w:pPr>
      <w:tabs>
        <w:tab w:val="center" w:pos="4153"/>
        <w:tab w:val="right" w:pos="8306"/>
      </w:tabs>
      <w:snapToGrid w:val="0"/>
    </w:pPr>
    <w:rPr>
      <w:sz w:val="18"/>
    </w:rPr>
  </w:style>
  <w:style w:type="paragraph" w:styleId="10">
    <w:name w:val="header"/>
    <w:basedOn w:val="1"/>
    <w:link w:val="6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1">
    <w:name w:val="toc 1"/>
    <w:basedOn w:val="1"/>
    <w:next w:val="1"/>
    <w:autoRedefine/>
    <w:unhideWhenUsed/>
    <w:qFormat/>
    <w:uiPriority w:val="39"/>
    <w:pPr>
      <w:widowControl/>
      <w:tabs>
        <w:tab w:val="left" w:pos="190"/>
        <w:tab w:val="right" w:leader="dot" w:pos="9348"/>
      </w:tabs>
      <w:autoSpaceDE/>
      <w:autoSpaceDN/>
      <w:spacing w:after="100" w:line="259" w:lineRule="auto"/>
    </w:pPr>
    <w:rPr>
      <w:rFonts w:cs="Times New Roman" w:asciiTheme="minorHAnsi" w:hAnsiTheme="minorHAnsi" w:eastAsiaTheme="minorEastAsia"/>
    </w:rPr>
  </w:style>
  <w:style w:type="paragraph" w:styleId="12">
    <w:name w:val="toc 2"/>
    <w:basedOn w:val="1"/>
    <w:next w:val="1"/>
    <w:autoRedefine/>
    <w:unhideWhenUsed/>
    <w:qFormat/>
    <w:uiPriority w:val="39"/>
    <w:pPr>
      <w:widowControl/>
      <w:autoSpaceDE/>
      <w:autoSpaceDN/>
      <w:spacing w:after="100" w:line="259" w:lineRule="auto"/>
      <w:ind w:left="220"/>
    </w:pPr>
    <w:rPr>
      <w:rFonts w:cs="Times New Roman" w:asciiTheme="minorHAnsi" w:hAnsiTheme="minorHAnsi" w:eastAsiaTheme="minorEastAsia"/>
    </w:rPr>
  </w:style>
  <w:style w:type="paragraph" w:styleId="13">
    <w:name w:val="Normal (Web)"/>
    <w:basedOn w:val="1"/>
    <w:unhideWhenUsed/>
    <w:qFormat/>
    <w:uiPriority w:val="99"/>
    <w:pPr>
      <w:widowControl/>
      <w:autoSpaceDE/>
      <w:autoSpaceDN/>
      <w:spacing w:before="100" w:beforeAutospacing="1" w:after="100" w:afterAutospacing="1"/>
    </w:pPr>
    <w:rPr>
      <w:sz w:val="24"/>
      <w:szCs w:val="24"/>
    </w:rPr>
  </w:style>
  <w:style w:type="paragraph" w:styleId="14">
    <w:name w:val="Title"/>
    <w:basedOn w:val="1"/>
    <w:autoRedefine/>
    <w:qFormat/>
    <w:uiPriority w:val="1"/>
    <w:pPr>
      <w:spacing w:before="19"/>
      <w:ind w:left="6568"/>
    </w:pPr>
    <w:rPr>
      <w:rFonts w:ascii="Times New Roman" w:hAnsi="Times New Roman" w:eastAsia="Times New Roman" w:cs="Times New Roman"/>
      <w:b/>
      <w:bCs/>
      <w:sz w:val="160"/>
      <w:szCs w:val="160"/>
    </w:rPr>
  </w:style>
  <w:style w:type="table" w:styleId="16">
    <w:name w:val="Table Grid"/>
    <w:basedOn w:val="15"/>
    <w:autoRedefine/>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Strong"/>
    <w:basedOn w:val="17"/>
    <w:autoRedefine/>
    <w:qFormat/>
    <w:uiPriority w:val="22"/>
    <w:rPr>
      <w:b/>
    </w:rPr>
  </w:style>
  <w:style w:type="character" w:styleId="19">
    <w:name w:val="endnote reference"/>
    <w:basedOn w:val="17"/>
    <w:qFormat/>
    <w:uiPriority w:val="0"/>
    <w:rPr>
      <w:vertAlign w:val="superscript"/>
    </w:rPr>
  </w:style>
  <w:style w:type="character" w:styleId="20">
    <w:name w:val="FollowedHyperlink"/>
    <w:basedOn w:val="17"/>
    <w:autoRedefine/>
    <w:unhideWhenUsed/>
    <w:qFormat/>
    <w:uiPriority w:val="99"/>
    <w:rPr>
      <w:color w:val="954F72"/>
      <w:u w:val="single"/>
    </w:rPr>
  </w:style>
  <w:style w:type="character" w:styleId="21">
    <w:name w:val="Emphasis"/>
    <w:basedOn w:val="17"/>
    <w:qFormat/>
    <w:uiPriority w:val="0"/>
    <w:rPr>
      <w:i/>
    </w:rPr>
  </w:style>
  <w:style w:type="character" w:styleId="22">
    <w:name w:val="Hyperlink"/>
    <w:basedOn w:val="17"/>
    <w:autoRedefine/>
    <w:unhideWhenUsed/>
    <w:qFormat/>
    <w:uiPriority w:val="99"/>
    <w:rPr>
      <w:color w:val="0000FF" w:themeColor="hyperlink"/>
      <w:u w:val="single"/>
      <w14:textFill>
        <w14:solidFill>
          <w14:schemeClr w14:val="hlink"/>
        </w14:solidFill>
      </w14:textFill>
    </w:rPr>
  </w:style>
  <w:style w:type="table" w:customStyle="1" w:styleId="23">
    <w:name w:val="Table Normal"/>
    <w:autoRedefine/>
    <w:semiHidden/>
    <w:unhideWhenUsed/>
    <w:qFormat/>
    <w:uiPriority w:val="2"/>
    <w:tblPr>
      <w:tblCellMar>
        <w:top w:w="0" w:type="dxa"/>
        <w:left w:w="0" w:type="dxa"/>
        <w:bottom w:w="0" w:type="dxa"/>
        <w:right w:w="0" w:type="dxa"/>
      </w:tblCellMar>
    </w:tblPr>
  </w:style>
  <w:style w:type="paragraph" w:styleId="24">
    <w:name w:val="List Paragraph"/>
    <w:basedOn w:val="1"/>
    <w:autoRedefine/>
    <w:qFormat/>
    <w:uiPriority w:val="34"/>
    <w:pPr>
      <w:autoSpaceDE/>
      <w:autoSpaceDN/>
      <w:spacing w:line="320" w:lineRule="exact"/>
      <w:jc w:val="both"/>
    </w:pPr>
    <w:rPr>
      <w:rFonts w:ascii="黑体" w:hAnsi="黑体" w:eastAsia="黑体"/>
      <w:sz w:val="21"/>
      <w:szCs w:val="21"/>
    </w:rPr>
  </w:style>
  <w:style w:type="paragraph" w:customStyle="1" w:styleId="25">
    <w:name w:val="Table Paragraph"/>
    <w:basedOn w:val="1"/>
    <w:autoRedefine/>
    <w:qFormat/>
    <w:uiPriority w:val="1"/>
  </w:style>
  <w:style w:type="character" w:customStyle="1" w:styleId="26">
    <w:name w:val="尾注文本 字符"/>
    <w:basedOn w:val="17"/>
    <w:link w:val="8"/>
    <w:autoRedefine/>
    <w:qFormat/>
    <w:uiPriority w:val="0"/>
    <w:rPr>
      <w:rFonts w:ascii="宋体" w:hAnsi="宋体" w:eastAsia="宋体" w:cs="宋体"/>
      <w:sz w:val="22"/>
      <w:szCs w:val="22"/>
    </w:rPr>
  </w:style>
  <w:style w:type="paragraph" w:customStyle="1" w:styleId="27">
    <w:name w:val="封面标准号2"/>
    <w:autoRedefine/>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28">
    <w:name w:val="封面标准代替信息"/>
    <w:autoRedefine/>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29">
    <w:name w:val="其他发布部门"/>
    <w:basedOn w:val="1"/>
    <w:autoRedefine/>
    <w:qFormat/>
    <w:uiPriority w:val="0"/>
    <w:pPr>
      <w:framePr w:w="7938" w:h="1134" w:hRule="exact" w:hSpace="125" w:vSpace="181" w:wrap="around" w:vAnchor="page" w:hAnchor="page" w:x="2150" w:y="15310" w:anchorLock="1"/>
      <w:widowControl/>
      <w:autoSpaceDE/>
      <w:autoSpaceDN/>
      <w:spacing w:line="0" w:lineRule="atLeast"/>
      <w:jc w:val="center"/>
    </w:pPr>
    <w:rPr>
      <w:rFonts w:ascii="黑体" w:hAnsi="Times New Roman" w:eastAsia="黑体" w:cs="Times New Roman"/>
      <w:spacing w:val="20"/>
      <w:w w:val="135"/>
      <w:sz w:val="28"/>
      <w:szCs w:val="20"/>
    </w:rPr>
  </w:style>
  <w:style w:type="paragraph" w:customStyle="1" w:styleId="30">
    <w:name w:val="其他发布日期"/>
    <w:basedOn w:val="1"/>
    <w:autoRedefine/>
    <w:qFormat/>
    <w:uiPriority w:val="0"/>
    <w:pPr>
      <w:framePr w:w="3997" w:h="471" w:hRule="exact" w:vSpace="181" w:wrap="around" w:vAnchor="page" w:hAnchor="text" w:x="1419" w:y="14097" w:anchorLock="1"/>
      <w:widowControl/>
      <w:autoSpaceDE/>
      <w:autoSpaceDN/>
    </w:pPr>
    <w:rPr>
      <w:rFonts w:ascii="Times New Roman" w:hAnsi="Times New Roman" w:eastAsia="黑体" w:cs="Times New Roman"/>
      <w:sz w:val="28"/>
      <w:szCs w:val="20"/>
    </w:rPr>
  </w:style>
  <w:style w:type="paragraph" w:customStyle="1" w:styleId="31">
    <w:name w:val="其他实施日期"/>
    <w:basedOn w:val="1"/>
    <w:qFormat/>
    <w:uiPriority w:val="0"/>
    <w:pPr>
      <w:framePr w:w="3997" w:h="471" w:hRule="exact" w:vSpace="181" w:wrap="around" w:vAnchor="page" w:hAnchor="text" w:x="7089" w:y="14097" w:anchorLock="1"/>
      <w:widowControl/>
      <w:autoSpaceDE/>
      <w:autoSpaceDN/>
      <w:jc w:val="right"/>
    </w:pPr>
    <w:rPr>
      <w:rFonts w:ascii="Times New Roman" w:hAnsi="Times New Roman" w:eastAsia="黑体" w:cs="Times New Roman"/>
      <w:sz w:val="28"/>
      <w:szCs w:val="20"/>
    </w:rPr>
  </w:style>
  <w:style w:type="paragraph" w:customStyle="1" w:styleId="32">
    <w:name w:val="其他标准称谓"/>
    <w:next w:val="1"/>
    <w:autoRedefine/>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33">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34">
    <w:name w:val="TOC 标题1"/>
    <w:basedOn w:val="2"/>
    <w:next w:val="1"/>
    <w:autoRedefine/>
    <w:unhideWhenUsed/>
    <w:qFormat/>
    <w:uiPriority w:val="39"/>
    <w:pPr>
      <w:keepNext/>
      <w:keepLines/>
      <w:widowControl/>
      <w:autoSpaceDE/>
      <w:autoSpaceDN/>
      <w:spacing w:before="240" w:line="259" w:lineRule="auto"/>
      <w:ind w:right="0"/>
      <w:jc w:val="left"/>
      <w:outlineLvl w:val="9"/>
    </w:pPr>
    <w:rPr>
      <w:rFonts w:asciiTheme="majorHAnsi" w:hAnsiTheme="majorHAnsi" w:eastAsiaTheme="majorEastAsia" w:cstheme="majorBidi"/>
      <w:color w:val="376092" w:themeColor="accent1" w:themeShade="BF"/>
    </w:rPr>
  </w:style>
  <w:style w:type="character" w:customStyle="1" w:styleId="35">
    <w:name w:val="标题 2 字符"/>
    <w:basedOn w:val="17"/>
    <w:link w:val="3"/>
    <w:autoRedefine/>
    <w:semiHidden/>
    <w:qFormat/>
    <w:uiPriority w:val="0"/>
    <w:rPr>
      <w:rFonts w:asciiTheme="majorHAnsi" w:hAnsiTheme="majorHAnsi" w:eastAsiaTheme="majorEastAsia" w:cstheme="majorBidi"/>
      <w:b/>
      <w:bCs/>
      <w:sz w:val="32"/>
      <w:szCs w:val="32"/>
    </w:rPr>
  </w:style>
  <w:style w:type="paragraph" w:customStyle="1" w:styleId="36">
    <w:name w:val="前言、引言标题"/>
    <w:next w:val="1"/>
    <w:autoRedefine/>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
    <w:name w:val="章标题"/>
    <w:next w:val="38"/>
    <w:autoRedefine/>
    <w:qFormat/>
    <w:uiPriority w:val="0"/>
    <w:pPr>
      <w:numPr>
        <w:ilvl w:val="0"/>
        <w:numId w:val="1"/>
      </w:numPr>
      <w:spacing w:before="120" w:beforeLines="50" w:after="120" w:afterLines="50"/>
      <w:jc w:val="both"/>
      <w:outlineLvl w:val="0"/>
    </w:pPr>
    <w:rPr>
      <w:rFonts w:ascii="黑体" w:hAnsi="Times New Roman" w:eastAsia="黑体" w:cs="Times New Roman"/>
      <w:sz w:val="21"/>
      <w:lang w:val="en-US" w:eastAsia="zh-CN" w:bidi="ar-SA"/>
    </w:rPr>
  </w:style>
  <w:style w:type="paragraph" w:customStyle="1" w:styleId="38">
    <w:name w:val="段"/>
    <w:link w:val="39"/>
    <w:autoRedefine/>
    <w:qFormat/>
    <w:uiPriority w:val="0"/>
    <w:pPr>
      <w:tabs>
        <w:tab w:val="center" w:pos="4201"/>
        <w:tab w:val="right" w:leader="dot" w:pos="9298"/>
      </w:tabs>
      <w:autoSpaceDE w:val="0"/>
      <w:autoSpaceDN w:val="0"/>
      <w:spacing w:line="320" w:lineRule="exact"/>
      <w:ind w:firstLine="410" w:firstLineChars="200"/>
      <w:jc w:val="both"/>
    </w:pPr>
    <w:rPr>
      <w:rFonts w:ascii="宋体" w:hAnsi="宋体" w:eastAsia="宋体" w:cs="宋体"/>
      <w:spacing w:val="-5"/>
      <w:sz w:val="21"/>
      <w:szCs w:val="21"/>
      <w:lang w:val="en-US" w:eastAsia="zh-CN" w:bidi="ar-SA"/>
    </w:rPr>
  </w:style>
  <w:style w:type="character" w:customStyle="1" w:styleId="39">
    <w:name w:val="段 Char"/>
    <w:basedOn w:val="17"/>
    <w:link w:val="38"/>
    <w:autoRedefine/>
    <w:qFormat/>
    <w:uiPriority w:val="0"/>
    <w:rPr>
      <w:rFonts w:ascii="宋体" w:hAnsi="宋体" w:cs="宋体"/>
      <w:spacing w:val="-5"/>
      <w:sz w:val="21"/>
      <w:szCs w:val="21"/>
    </w:rPr>
  </w:style>
  <w:style w:type="paragraph" w:customStyle="1" w:styleId="40">
    <w:name w:val="一级条标题"/>
    <w:next w:val="38"/>
    <w:autoRedefine/>
    <w:qFormat/>
    <w:uiPriority w:val="0"/>
    <w:pPr>
      <w:spacing w:beforeLines="50" w:afterLines="50"/>
      <w:outlineLvl w:val="2"/>
    </w:pPr>
    <w:rPr>
      <w:rFonts w:ascii="黑体" w:hAnsi="Times New Roman" w:eastAsia="黑体" w:cs="Times New Roman"/>
      <w:sz w:val="21"/>
      <w:szCs w:val="21"/>
      <w:lang w:val="en-US" w:eastAsia="zh-CN" w:bidi="ar-SA"/>
    </w:rPr>
  </w:style>
  <w:style w:type="character" w:customStyle="1" w:styleId="41">
    <w:name w:val="日期 字符"/>
    <w:basedOn w:val="17"/>
    <w:link w:val="7"/>
    <w:autoRedefine/>
    <w:qFormat/>
    <w:uiPriority w:val="0"/>
    <w:rPr>
      <w:rFonts w:ascii="宋体" w:hAnsi="宋体" w:eastAsia="宋体" w:cs="宋体"/>
      <w:sz w:val="22"/>
      <w:szCs w:val="22"/>
    </w:rPr>
  </w:style>
  <w:style w:type="paragraph" w:customStyle="1" w:styleId="42">
    <w:name w:val="二级条标题"/>
    <w:basedOn w:val="40"/>
    <w:next w:val="38"/>
    <w:autoRedefine/>
    <w:qFormat/>
    <w:uiPriority w:val="0"/>
    <w:pPr>
      <w:spacing w:before="50" w:after="50"/>
      <w:outlineLvl w:val="3"/>
    </w:pPr>
  </w:style>
  <w:style w:type="paragraph" w:customStyle="1" w:styleId="43">
    <w:name w:val="msonormal"/>
    <w:basedOn w:val="1"/>
    <w:autoRedefine/>
    <w:qFormat/>
    <w:uiPriority w:val="0"/>
    <w:pPr>
      <w:widowControl/>
      <w:autoSpaceDE/>
      <w:autoSpaceDN/>
      <w:spacing w:before="100" w:beforeAutospacing="1" w:after="100" w:afterAutospacing="1"/>
    </w:pPr>
    <w:rPr>
      <w:sz w:val="24"/>
      <w:szCs w:val="24"/>
    </w:rPr>
  </w:style>
  <w:style w:type="paragraph" w:customStyle="1" w:styleId="44">
    <w:name w:val="font0"/>
    <w:basedOn w:val="1"/>
    <w:autoRedefine/>
    <w:qFormat/>
    <w:uiPriority w:val="0"/>
    <w:pPr>
      <w:widowControl/>
      <w:autoSpaceDE/>
      <w:autoSpaceDN/>
      <w:spacing w:before="100" w:beforeAutospacing="1" w:after="100" w:afterAutospacing="1"/>
    </w:pPr>
    <w:rPr>
      <w:rFonts w:ascii="等线" w:hAnsi="等线" w:eastAsia="等线"/>
      <w:color w:val="000000"/>
    </w:rPr>
  </w:style>
  <w:style w:type="paragraph" w:customStyle="1" w:styleId="45">
    <w:name w:val="font5"/>
    <w:basedOn w:val="1"/>
    <w:qFormat/>
    <w:uiPriority w:val="0"/>
    <w:pPr>
      <w:widowControl/>
      <w:autoSpaceDE/>
      <w:autoSpaceDN/>
      <w:spacing w:before="100" w:beforeAutospacing="1" w:after="100" w:afterAutospacing="1"/>
    </w:pPr>
    <w:rPr>
      <w:rFonts w:ascii="等线" w:hAnsi="等线" w:eastAsia="等线"/>
      <w:color w:val="FF0000"/>
    </w:rPr>
  </w:style>
  <w:style w:type="paragraph" w:customStyle="1" w:styleId="46">
    <w:name w:val="xl65"/>
    <w:basedOn w:val="1"/>
    <w:autoRedefine/>
    <w:qFormat/>
    <w:uiPriority w:val="0"/>
    <w:pPr>
      <w:widowControl/>
      <w:autoSpaceDE/>
      <w:autoSpaceDN/>
      <w:spacing w:before="100" w:beforeAutospacing="1" w:after="100" w:afterAutospacing="1"/>
    </w:pPr>
    <w:rPr>
      <w:sz w:val="24"/>
      <w:szCs w:val="24"/>
    </w:rPr>
  </w:style>
  <w:style w:type="paragraph" w:customStyle="1" w:styleId="47">
    <w:name w:val="xl66"/>
    <w:basedOn w:val="1"/>
    <w:autoRedefine/>
    <w:qFormat/>
    <w:uiPriority w:val="0"/>
    <w:pPr>
      <w:widowControl/>
      <w:autoSpaceDE/>
      <w:autoSpaceDN/>
      <w:spacing w:before="100" w:beforeAutospacing="1" w:after="100" w:afterAutospacing="1"/>
    </w:pPr>
    <w:rPr>
      <w:sz w:val="20"/>
      <w:szCs w:val="20"/>
    </w:rPr>
  </w:style>
  <w:style w:type="paragraph" w:customStyle="1" w:styleId="48">
    <w:name w:val="xl67"/>
    <w:basedOn w:val="1"/>
    <w:autoRedefine/>
    <w:qFormat/>
    <w:uiPriority w:val="0"/>
    <w:pPr>
      <w:widowControl/>
      <w:autoSpaceDE/>
      <w:autoSpaceDN/>
      <w:spacing w:before="100" w:beforeAutospacing="1" w:after="100" w:afterAutospacing="1"/>
      <w:jc w:val="center"/>
    </w:pPr>
    <w:rPr>
      <w:sz w:val="24"/>
      <w:szCs w:val="24"/>
    </w:rPr>
  </w:style>
  <w:style w:type="paragraph" w:customStyle="1" w:styleId="49">
    <w:name w:val="xl68"/>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b/>
      <w:bCs/>
      <w:sz w:val="24"/>
      <w:szCs w:val="24"/>
    </w:rPr>
  </w:style>
  <w:style w:type="paragraph" w:customStyle="1" w:styleId="50">
    <w:name w:val="xl69"/>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b/>
      <w:bCs/>
      <w:sz w:val="24"/>
      <w:szCs w:val="24"/>
    </w:rPr>
  </w:style>
  <w:style w:type="paragraph" w:customStyle="1" w:styleId="51">
    <w:name w:val="xl70"/>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b/>
      <w:bCs/>
      <w:sz w:val="20"/>
      <w:szCs w:val="20"/>
    </w:rPr>
  </w:style>
  <w:style w:type="paragraph" w:customStyle="1" w:styleId="52">
    <w:name w:val="xl71"/>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53">
    <w:name w:val="xl72"/>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4"/>
      <w:szCs w:val="24"/>
    </w:rPr>
  </w:style>
  <w:style w:type="paragraph" w:customStyle="1" w:styleId="54">
    <w:name w:val="xl73"/>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0"/>
      <w:szCs w:val="20"/>
    </w:rPr>
  </w:style>
  <w:style w:type="paragraph" w:customStyle="1" w:styleId="55">
    <w:name w:val="xl74"/>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0"/>
      <w:szCs w:val="20"/>
    </w:rPr>
  </w:style>
  <w:style w:type="paragraph" w:customStyle="1" w:styleId="56">
    <w:name w:val="xl75"/>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0"/>
      <w:szCs w:val="20"/>
    </w:rPr>
  </w:style>
  <w:style w:type="paragraph" w:customStyle="1" w:styleId="57">
    <w:name w:val="xl76"/>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4"/>
      <w:szCs w:val="24"/>
    </w:rPr>
  </w:style>
  <w:style w:type="paragraph" w:customStyle="1" w:styleId="58">
    <w:name w:val="xl77"/>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color w:val="FF0000"/>
      <w:sz w:val="24"/>
      <w:szCs w:val="24"/>
    </w:rPr>
  </w:style>
  <w:style w:type="paragraph" w:customStyle="1" w:styleId="59">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pPr>
    <w:rPr>
      <w:sz w:val="24"/>
      <w:szCs w:val="24"/>
    </w:rPr>
  </w:style>
  <w:style w:type="paragraph" w:customStyle="1" w:styleId="60">
    <w:name w:val="xl79"/>
    <w:basedOn w:val="1"/>
    <w:autoRedefine/>
    <w:qFormat/>
    <w:uiPriority w:val="0"/>
    <w:pPr>
      <w:widowControl/>
      <w:pBdr>
        <w:top w:val="single" w:color="auto" w:sz="4" w:space="0"/>
        <w:left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1">
    <w:name w:val="xl80"/>
    <w:basedOn w:val="1"/>
    <w:autoRedefine/>
    <w:qFormat/>
    <w:uiPriority w:val="0"/>
    <w:pPr>
      <w:widowControl/>
      <w:pBdr>
        <w:left w:val="single" w:color="auto" w:sz="4" w:space="0"/>
        <w:bottom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2">
    <w:name w:val="xl81"/>
    <w:basedOn w:val="1"/>
    <w:autoRedefine/>
    <w:qFormat/>
    <w:uiPriority w:val="0"/>
    <w:pPr>
      <w:widowControl/>
      <w:pBdr>
        <w:left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3">
    <w:name w:val="xl82"/>
    <w:basedOn w:val="1"/>
    <w:autoRedefine/>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4">
    <w:name w:val="xl83"/>
    <w:basedOn w:val="1"/>
    <w:autoRedefine/>
    <w:qFormat/>
    <w:uiPriority w:val="0"/>
    <w:pPr>
      <w:widowControl/>
      <w:pBdr>
        <w:top w:val="single" w:color="auto" w:sz="4" w:space="0"/>
        <w:left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5">
    <w:name w:val="xl84"/>
    <w:basedOn w:val="1"/>
    <w:autoRedefine/>
    <w:qFormat/>
    <w:uiPriority w:val="0"/>
    <w:pPr>
      <w:widowControl/>
      <w:pBdr>
        <w:left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6">
    <w:name w:val="xl85"/>
    <w:basedOn w:val="1"/>
    <w:autoRedefine/>
    <w:qFormat/>
    <w:uiPriority w:val="0"/>
    <w:pPr>
      <w:widowControl/>
      <w:pBdr>
        <w:left w:val="single" w:color="auto" w:sz="4" w:space="0"/>
        <w:bottom w:val="single" w:color="auto" w:sz="4" w:space="0"/>
        <w:right w:val="single" w:color="auto" w:sz="4" w:space="0"/>
      </w:pBdr>
      <w:autoSpaceDE/>
      <w:autoSpaceDN/>
      <w:spacing w:before="100" w:beforeAutospacing="1" w:after="100" w:afterAutospacing="1"/>
      <w:jc w:val="center"/>
    </w:pPr>
    <w:rPr>
      <w:sz w:val="24"/>
      <w:szCs w:val="24"/>
    </w:rPr>
  </w:style>
  <w:style w:type="paragraph" w:customStyle="1" w:styleId="67">
    <w:name w:val="xl86"/>
    <w:basedOn w:val="1"/>
    <w:autoRedefine/>
    <w:qFormat/>
    <w:uiPriority w:val="0"/>
    <w:pPr>
      <w:widowControl/>
      <w:pBdr>
        <w:bottom w:val="single" w:color="auto" w:sz="4" w:space="0"/>
      </w:pBdr>
      <w:autoSpaceDE/>
      <w:autoSpaceDN/>
      <w:spacing w:before="100" w:beforeAutospacing="1" w:after="100" w:afterAutospacing="1"/>
      <w:jc w:val="center"/>
    </w:pPr>
    <w:rPr>
      <w:b/>
      <w:bCs/>
      <w:sz w:val="24"/>
      <w:szCs w:val="24"/>
    </w:rPr>
  </w:style>
  <w:style w:type="character" w:customStyle="1" w:styleId="68">
    <w:name w:val="页脚 字符"/>
    <w:basedOn w:val="17"/>
    <w:link w:val="9"/>
    <w:autoRedefine/>
    <w:qFormat/>
    <w:uiPriority w:val="99"/>
    <w:rPr>
      <w:rFonts w:ascii="宋体" w:hAnsi="宋体" w:eastAsia="宋体" w:cs="宋体"/>
      <w:sz w:val="18"/>
      <w:szCs w:val="22"/>
    </w:rPr>
  </w:style>
  <w:style w:type="character" w:customStyle="1" w:styleId="69">
    <w:name w:val="页眉 字符"/>
    <w:basedOn w:val="17"/>
    <w:link w:val="10"/>
    <w:autoRedefine/>
    <w:qFormat/>
    <w:uiPriority w:val="99"/>
    <w:rPr>
      <w:rFonts w:ascii="宋体" w:hAnsi="宋体" w:eastAsia="宋体" w:cs="宋体"/>
      <w:sz w:val="18"/>
      <w:szCs w:val="22"/>
    </w:rPr>
  </w:style>
  <w:style w:type="paragraph" w:customStyle="1" w:styleId="70">
    <w:name w:val="封面标准文稿类别"/>
    <w:basedOn w:val="71"/>
    <w:autoRedefine/>
    <w:qFormat/>
    <w:uiPriority w:val="0"/>
    <w:pPr>
      <w:framePr w:wrap="around"/>
      <w:spacing w:after="160" w:line="240" w:lineRule="auto"/>
    </w:pPr>
    <w:rPr>
      <w:sz w:val="24"/>
    </w:rPr>
  </w:style>
  <w:style w:type="paragraph" w:customStyle="1" w:styleId="71">
    <w:name w:val="封面一致性程度标识"/>
    <w:basedOn w:val="72"/>
    <w:autoRedefine/>
    <w:qFormat/>
    <w:uiPriority w:val="0"/>
    <w:pPr>
      <w:framePr w:wrap="around"/>
      <w:spacing w:before="440"/>
    </w:pPr>
    <w:rPr>
      <w:rFonts w:ascii="宋体" w:eastAsia="宋体"/>
    </w:rPr>
  </w:style>
  <w:style w:type="paragraph" w:customStyle="1" w:styleId="72">
    <w:name w:val="封面标准英文名称"/>
    <w:basedOn w:val="73"/>
    <w:autoRedefine/>
    <w:qFormat/>
    <w:uiPriority w:val="0"/>
    <w:pPr>
      <w:framePr w:wrap="around"/>
      <w:spacing w:before="370" w:line="400" w:lineRule="exact"/>
    </w:pPr>
    <w:rPr>
      <w:rFonts w:ascii="Times New Roman"/>
      <w:sz w:val="28"/>
      <w:szCs w:val="28"/>
    </w:rPr>
  </w:style>
  <w:style w:type="paragraph" w:customStyle="1" w:styleId="73">
    <w:name w:val="封面标准名称"/>
    <w:autoRedefine/>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4">
    <w:name w:val="WPSOffice手动目录 1"/>
    <w:autoRedefine/>
    <w:qFormat/>
    <w:uiPriority w:val="0"/>
    <w:rPr>
      <w:rFonts w:ascii="Times New Roman" w:hAnsi="Times New Roman" w:eastAsia="宋体" w:cs="Times New Roman"/>
      <w:lang w:val="en-US" w:eastAsia="zh-CN" w:bidi="ar-SA"/>
    </w:rPr>
  </w:style>
  <w:style w:type="paragraph" w:customStyle="1" w:styleId="75">
    <w:name w:val="目次、标准名称标题"/>
    <w:basedOn w:val="1"/>
    <w:next w:val="38"/>
    <w:autoRedefine/>
    <w:qFormat/>
    <w:uiPriority w:val="0"/>
    <w:pPr>
      <w:keepNext/>
      <w:pageBreakBefore/>
      <w:widowControl/>
      <w:shd w:val="clear" w:color="FFFFFF" w:fill="FFFFFF"/>
      <w:spacing w:before="640" w:after="560" w:line="460" w:lineRule="exact"/>
      <w:jc w:val="center"/>
      <w:outlineLvl w:val="0"/>
    </w:pPr>
    <w:rPr>
      <w:rFonts w:ascii="黑体" w:eastAsia="黑体"/>
      <w:sz w:val="32"/>
      <w:szCs w:val="20"/>
    </w:rPr>
  </w:style>
  <w:style w:type="paragraph" w:customStyle="1" w:styleId="76">
    <w:name w:val="附录标识"/>
    <w:basedOn w:val="1"/>
    <w:next w:val="38"/>
    <w:qFormat/>
    <w:uiPriority w:val="0"/>
    <w:pPr>
      <w:keepNext/>
      <w:widowControl/>
      <w:numPr>
        <w:ilvl w:val="0"/>
        <w:numId w:val="2"/>
      </w:numPr>
      <w:shd w:val="clear" w:color="FFFFFF" w:fill="FFFFFF"/>
      <w:tabs>
        <w:tab w:val="left" w:pos="360"/>
        <w:tab w:val="left" w:pos="6405"/>
      </w:tabs>
      <w:autoSpaceDE/>
      <w:autoSpaceDN/>
      <w:spacing w:before="640" w:after="280"/>
      <w:jc w:val="center"/>
      <w:outlineLvl w:val="0"/>
    </w:pPr>
    <w:rPr>
      <w:rFonts w:ascii="黑体" w:hAnsi="Times New Roman" w:eastAsia="黑体" w:cs="Times New Roman"/>
      <w:sz w:val="21"/>
      <w:szCs w:val="20"/>
    </w:rPr>
  </w:style>
  <w:style w:type="paragraph" w:customStyle="1" w:styleId="77">
    <w:name w:val="正文表标题"/>
    <w:next w:val="38"/>
    <w:qFormat/>
    <w:uiPriority w:val="0"/>
    <w:pPr>
      <w:tabs>
        <w:tab w:val="left" w:pos="360"/>
        <w:tab w:val="left" w:pos="720"/>
      </w:tabs>
      <w:spacing w:before="156" w:beforeLines="50" w:after="156" w:afterLines="50"/>
      <w:ind w:left="720" w:hanging="720"/>
      <w:jc w:val="center"/>
    </w:pPr>
    <w:rPr>
      <w:rFonts w:ascii="黑体" w:hAnsi="Times New Roman" w:eastAsia="黑体" w:cs="Times New Roman"/>
      <w:sz w:val="21"/>
      <w:lang w:val="en-US" w:eastAsia="zh-CN" w:bidi="ar-SA"/>
    </w:rPr>
  </w:style>
  <w:style w:type="paragraph" w:customStyle="1" w:styleId="78">
    <w:name w:val="二级无"/>
    <w:basedOn w:val="42"/>
    <w:qFormat/>
    <w:uiPriority w:val="0"/>
    <w:pPr>
      <w:numPr>
        <w:ilvl w:val="2"/>
        <w:numId w:val="3"/>
      </w:numPr>
      <w:spacing w:before="0" w:beforeLines="0" w:after="0" w:afterLines="0"/>
      <w:ind w:left="0"/>
    </w:pPr>
    <w:rPr>
      <w:rFonts w:ascii="宋体" w:eastAsia="宋体"/>
    </w:rPr>
  </w:style>
  <w:style w:type="paragraph" w:customStyle="1" w:styleId="79">
    <w:name w:val="font6"/>
    <w:basedOn w:val="1"/>
    <w:qFormat/>
    <w:uiPriority w:val="0"/>
    <w:pPr>
      <w:widowControl/>
      <w:autoSpaceDE/>
      <w:autoSpaceDN/>
      <w:spacing w:before="100" w:beforeAutospacing="1" w:after="100" w:afterAutospacing="1"/>
    </w:pPr>
    <w:rPr>
      <w:rFonts w:ascii="黑体" w:hAnsi="黑体" w:eastAsia="黑体"/>
      <w:color w:val="000000"/>
    </w:rPr>
  </w:style>
  <w:style w:type="paragraph" w:customStyle="1" w:styleId="80">
    <w:name w:val="font7"/>
    <w:basedOn w:val="1"/>
    <w:qFormat/>
    <w:uiPriority w:val="0"/>
    <w:pPr>
      <w:widowControl/>
      <w:autoSpaceDE/>
      <w:autoSpaceDN/>
      <w:spacing w:before="100" w:beforeAutospacing="1" w:after="100" w:afterAutospacing="1"/>
    </w:pPr>
    <w:rPr>
      <w:rFonts w:ascii="Calibri" w:hAnsi="Calibri" w:cs="Calibri"/>
      <w:color w:val="000000"/>
    </w:rPr>
  </w:style>
  <w:style w:type="paragraph" w:customStyle="1" w:styleId="81">
    <w:name w:val="xl87"/>
    <w:basedOn w:val="1"/>
    <w:qFormat/>
    <w:uiPriority w:val="0"/>
    <w:pPr>
      <w:widowControl/>
      <w:pBdr>
        <w:top w:val="single" w:color="auto" w:sz="4" w:space="0"/>
        <w:left w:val="single" w:color="auto" w:sz="4" w:space="0"/>
        <w:right w:val="single" w:color="auto" w:sz="4" w:space="0"/>
      </w:pBdr>
      <w:shd w:val="clear" w:color="000000" w:fill="FFFFFF"/>
      <w:autoSpaceDE/>
      <w:autoSpaceDN/>
      <w:spacing w:before="100" w:beforeAutospacing="1" w:after="100" w:afterAutospacing="1"/>
      <w:textAlignment w:val="center"/>
    </w:pPr>
    <w:rPr>
      <w:rFonts w:ascii="黑体" w:hAnsi="黑体" w:eastAsia="黑体"/>
      <w:sz w:val="24"/>
      <w:szCs w:val="24"/>
    </w:rPr>
  </w:style>
  <w:style w:type="paragraph" w:customStyle="1" w:styleId="82">
    <w:name w:val="xl88"/>
    <w:basedOn w:val="1"/>
    <w:qFormat/>
    <w:uiPriority w:val="0"/>
    <w:pPr>
      <w:widowControl/>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黑体" w:hAnsi="黑体" w:eastAsia="黑体"/>
      <w:sz w:val="24"/>
      <w:szCs w:val="24"/>
    </w:rPr>
  </w:style>
  <w:style w:type="paragraph" w:customStyle="1" w:styleId="83">
    <w:name w:val="xl89"/>
    <w:basedOn w:val="1"/>
    <w:qFormat/>
    <w:uiPriority w:val="0"/>
    <w:pPr>
      <w:widowControl/>
      <w:shd w:val="clear" w:color="000000" w:fill="FFFFFF"/>
      <w:autoSpaceDE/>
      <w:autoSpaceDN/>
      <w:spacing w:before="100" w:beforeAutospacing="1" w:after="100" w:afterAutospacing="1"/>
      <w:textAlignment w:val="center"/>
    </w:pPr>
    <w:rPr>
      <w:rFonts w:ascii="黑体" w:hAnsi="黑体" w:eastAsia="黑体"/>
      <w:sz w:val="24"/>
      <w:szCs w:val="24"/>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黑体" w:hAnsi="黑体" w:eastAsia="黑体"/>
      <w:color w:val="FF0000"/>
      <w:sz w:val="24"/>
      <w:szCs w:val="24"/>
    </w:rPr>
  </w:style>
  <w:style w:type="paragraph" w:customStyle="1" w:styleId="85">
    <w:name w:val="xl91"/>
    <w:basedOn w:val="1"/>
    <w:qFormat/>
    <w:uiPriority w:val="0"/>
    <w:pPr>
      <w:widowControl/>
      <w:shd w:val="clear" w:color="000000" w:fill="FFFFFF"/>
      <w:autoSpaceDE/>
      <w:autoSpaceDN/>
      <w:spacing w:before="100" w:beforeAutospacing="1" w:after="100" w:afterAutospacing="1"/>
      <w:jc w:val="center"/>
      <w:textAlignment w:val="center"/>
    </w:pPr>
    <w:rPr>
      <w:color w:val="FF0000"/>
      <w:sz w:val="24"/>
      <w:szCs w:val="24"/>
    </w:rPr>
  </w:style>
  <w:style w:type="paragraph" w:customStyle="1" w:styleId="86">
    <w:name w:val="xl92"/>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87">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8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8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黑体" w:hAnsi="黑体" w:eastAsia="黑体"/>
      <w:sz w:val="24"/>
      <w:szCs w:val="24"/>
    </w:rPr>
  </w:style>
  <w:style w:type="paragraph" w:customStyle="1" w:styleId="90">
    <w:name w:val="xl96"/>
    <w:basedOn w:val="1"/>
    <w:qFormat/>
    <w:uiPriority w:val="0"/>
    <w:pPr>
      <w:widowControl/>
      <w:pBdr>
        <w:top w:val="single" w:color="auto" w:sz="8"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91">
    <w:name w:val="xl97"/>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黑体" w:hAnsi="黑体" w:eastAsia="黑体"/>
      <w:sz w:val="24"/>
      <w:szCs w:val="24"/>
    </w:rPr>
  </w:style>
  <w:style w:type="paragraph" w:customStyle="1" w:styleId="92">
    <w:name w:val="xl98"/>
    <w:basedOn w:val="1"/>
    <w:qFormat/>
    <w:uiPriority w:val="0"/>
    <w:pPr>
      <w:widowControl/>
      <w:pBdr>
        <w:left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93">
    <w:name w:val="xl99"/>
    <w:basedOn w:val="1"/>
    <w:qFormat/>
    <w:uiPriority w:val="0"/>
    <w:pPr>
      <w:widowControl/>
      <w:pBdr>
        <w:top w:val="single" w:color="auto" w:sz="8"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sz w:val="28"/>
      <w:szCs w:val="28"/>
    </w:rPr>
  </w:style>
  <w:style w:type="paragraph" w:customStyle="1" w:styleId="94">
    <w:name w:val="xl100"/>
    <w:basedOn w:val="1"/>
    <w:qFormat/>
    <w:uiPriority w:val="0"/>
    <w:pPr>
      <w:widowControl/>
      <w:pBdr>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sz w:val="28"/>
      <w:szCs w:val="28"/>
    </w:rPr>
  </w:style>
  <w:style w:type="paragraph" w:customStyle="1" w:styleId="95">
    <w:name w:val="xl101"/>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sz w:val="28"/>
      <w:szCs w:val="28"/>
    </w:rPr>
  </w:style>
  <w:style w:type="paragraph" w:customStyle="1" w:styleId="96">
    <w:name w:val="xl102"/>
    <w:basedOn w:val="1"/>
    <w:qFormat/>
    <w:uiPriority w:val="0"/>
    <w:pPr>
      <w:widowControl/>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sz w:val="28"/>
      <w:szCs w:val="28"/>
    </w:rPr>
  </w:style>
  <w:style w:type="paragraph" w:customStyle="1" w:styleId="97">
    <w:name w:val="xl103"/>
    <w:basedOn w:val="1"/>
    <w:qFormat/>
    <w:uiPriority w:val="0"/>
    <w:pPr>
      <w:widowControl/>
      <w:pBdr>
        <w:top w:val="single" w:color="auto" w:sz="8" w:space="0"/>
        <w:left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98">
    <w:name w:val="xl104"/>
    <w:basedOn w:val="1"/>
    <w:qFormat/>
    <w:uiPriority w:val="0"/>
    <w:pPr>
      <w:widowControl/>
      <w:pBdr>
        <w:top w:val="single" w:color="auto" w:sz="8" w:space="0"/>
        <w:left w:val="single" w:color="auto" w:sz="8" w:space="14"/>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99">
    <w:name w:val="xl105"/>
    <w:basedOn w:val="1"/>
    <w:qFormat/>
    <w:uiPriority w:val="0"/>
    <w:pPr>
      <w:widowControl/>
      <w:pBdr>
        <w:top w:val="single" w:color="auto" w:sz="8" w:space="0"/>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100">
    <w:name w:val="xl106"/>
    <w:basedOn w:val="1"/>
    <w:qFormat/>
    <w:uiPriority w:val="0"/>
    <w:pPr>
      <w:widowControl/>
      <w:pBdr>
        <w:top w:val="single" w:color="auto" w:sz="8" w:space="0"/>
        <w:right w:val="single" w:color="auto" w:sz="8" w:space="0"/>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101">
    <w:name w:val="xl107"/>
    <w:basedOn w:val="1"/>
    <w:qFormat/>
    <w:uiPriority w:val="0"/>
    <w:pPr>
      <w:widowControl/>
      <w:pBdr>
        <w:left w:val="single" w:color="auto" w:sz="8" w:space="14"/>
        <w:bottom w:val="single" w:color="auto" w:sz="8" w:space="0"/>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102">
    <w:name w:val="xl108"/>
    <w:basedOn w:val="1"/>
    <w:qFormat/>
    <w:uiPriority w:val="0"/>
    <w:pPr>
      <w:widowControl/>
      <w:pBdr>
        <w:bottom w:val="single" w:color="auto" w:sz="8" w:space="0"/>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103">
    <w:name w:val="xl109"/>
    <w:basedOn w:val="1"/>
    <w:qFormat/>
    <w:uiPriority w:val="0"/>
    <w:pPr>
      <w:widowControl/>
      <w:pBdr>
        <w:bottom w:val="single" w:color="auto" w:sz="8" w:space="0"/>
        <w:right w:val="single" w:color="auto" w:sz="8" w:space="0"/>
      </w:pBdr>
      <w:shd w:val="clear" w:color="000000" w:fill="FFFFFF"/>
      <w:autoSpaceDE/>
      <w:autoSpaceDN/>
      <w:spacing w:before="100" w:beforeAutospacing="1" w:after="100" w:afterAutospacing="1"/>
      <w:ind w:firstLine="100" w:firstLineChars="100"/>
      <w:textAlignment w:val="center"/>
    </w:pPr>
    <w:rPr>
      <w:rFonts w:ascii="黑体" w:hAnsi="黑体" w:eastAsia="黑体"/>
      <w:sz w:val="28"/>
      <w:szCs w:val="28"/>
    </w:rPr>
  </w:style>
  <w:style w:type="paragraph" w:customStyle="1" w:styleId="104">
    <w:name w:val="xl110"/>
    <w:basedOn w:val="1"/>
    <w:qFormat/>
    <w:uiPriority w:val="0"/>
    <w:pPr>
      <w:widowControl/>
      <w:pBdr>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105">
    <w:name w:val="xl111"/>
    <w:basedOn w:val="1"/>
    <w:qFormat/>
    <w:uiPriority w:val="0"/>
    <w:pPr>
      <w:widowControl/>
      <w:pBdr>
        <w:top w:val="single" w:color="auto" w:sz="8" w:space="0"/>
        <w:left w:val="single" w:color="auto" w:sz="8" w:space="0"/>
        <w:bottom w:val="single" w:color="auto" w:sz="8" w:space="0"/>
      </w:pBdr>
      <w:shd w:val="clear" w:color="000000" w:fill="FFFFFF"/>
      <w:autoSpaceDE/>
      <w:autoSpaceDN/>
      <w:spacing w:before="100" w:beforeAutospacing="1" w:after="100" w:afterAutospacing="1"/>
      <w:jc w:val="center"/>
      <w:textAlignment w:val="center"/>
    </w:pPr>
    <w:rPr>
      <w:rFonts w:ascii="黑体" w:hAnsi="黑体" w:eastAsia="黑体"/>
      <w:sz w:val="32"/>
      <w:szCs w:val="32"/>
    </w:rPr>
  </w:style>
  <w:style w:type="paragraph" w:customStyle="1" w:styleId="106">
    <w:name w:val="xl112"/>
    <w:basedOn w:val="1"/>
    <w:qFormat/>
    <w:uiPriority w:val="0"/>
    <w:pPr>
      <w:widowControl/>
      <w:pBdr>
        <w:top w:val="single" w:color="auto" w:sz="8" w:space="0"/>
        <w:bottom w:val="single" w:color="auto" w:sz="8" w:space="0"/>
      </w:pBdr>
      <w:shd w:val="clear" w:color="000000" w:fill="FFFFFF"/>
      <w:autoSpaceDE/>
      <w:autoSpaceDN/>
      <w:spacing w:before="100" w:beforeAutospacing="1" w:after="100" w:afterAutospacing="1"/>
      <w:jc w:val="center"/>
      <w:textAlignment w:val="center"/>
    </w:pPr>
    <w:rPr>
      <w:rFonts w:ascii="黑体" w:hAnsi="黑体" w:eastAsia="黑体"/>
      <w:sz w:val="32"/>
      <w:szCs w:val="32"/>
    </w:rPr>
  </w:style>
  <w:style w:type="paragraph" w:customStyle="1" w:styleId="107">
    <w:name w:val="xl113"/>
    <w:basedOn w:val="1"/>
    <w:qFormat/>
    <w:uiPriority w:val="0"/>
    <w:pPr>
      <w:widowControl/>
      <w:pBdr>
        <w:top w:val="single" w:color="auto" w:sz="8" w:space="0"/>
        <w:bottom w:val="single" w:color="auto" w:sz="8" w:space="0"/>
        <w:right w:val="single" w:color="auto" w:sz="8" w:space="0"/>
      </w:pBdr>
      <w:shd w:val="clear" w:color="000000" w:fill="FFFFFF"/>
      <w:autoSpaceDE/>
      <w:autoSpaceDN/>
      <w:spacing w:before="100" w:beforeAutospacing="1" w:after="100" w:afterAutospacing="1"/>
      <w:jc w:val="center"/>
      <w:textAlignment w:val="center"/>
    </w:pPr>
    <w:rPr>
      <w:rFonts w:ascii="黑体" w:hAnsi="黑体" w:eastAsia="黑体"/>
      <w:sz w:val="32"/>
      <w:szCs w:val="32"/>
    </w:rPr>
  </w:style>
  <w:style w:type="paragraph" w:customStyle="1" w:styleId="108">
    <w:name w:val="xl114"/>
    <w:basedOn w:val="1"/>
    <w:qFormat/>
    <w:uiPriority w:val="0"/>
    <w:pPr>
      <w:widowControl/>
      <w:pBdr>
        <w:top w:val="single" w:color="auto" w:sz="8"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109">
    <w:name w:val="xl115"/>
    <w:basedOn w:val="1"/>
    <w:qFormat/>
    <w:uiPriority w:val="0"/>
    <w:pPr>
      <w:widowControl/>
      <w:pBdr>
        <w:top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110">
    <w:name w:val="xl116"/>
    <w:basedOn w:val="1"/>
    <w:qFormat/>
    <w:uiPriority w:val="0"/>
    <w:pPr>
      <w:widowControl/>
      <w:pBdr>
        <w:top w:val="single" w:color="auto" w:sz="8" w:space="0"/>
        <w:bottom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111">
    <w:name w:val="xl117"/>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 w:type="paragraph" w:customStyle="1" w:styleId="112">
    <w:name w:val="xl118"/>
    <w:basedOn w:val="1"/>
    <w:qFormat/>
    <w:uiPriority w:val="0"/>
    <w:pPr>
      <w:widowControl/>
      <w:pBdr>
        <w:bottom w:val="single" w:color="auto" w:sz="8" w:space="0"/>
        <w:right w:val="single" w:color="auto" w:sz="8" w:space="0"/>
      </w:pBdr>
      <w:shd w:val="clear" w:color="000000" w:fill="FFFFFF"/>
      <w:autoSpaceDE/>
      <w:autoSpaceDN/>
      <w:spacing w:before="100" w:beforeAutospacing="1" w:after="100" w:afterAutospacing="1"/>
      <w:jc w:val="center"/>
      <w:textAlignment w:val="center"/>
    </w:pPr>
    <w:rPr>
      <w:rFonts w:ascii="黑体" w:hAnsi="黑体" w:eastAsia="黑体"/>
      <w:sz w:val="28"/>
      <w:szCs w:val="28"/>
    </w:rPr>
  </w:style>
  <w:style w:type="paragraph" w:customStyle="1" w:styleId="113">
    <w:name w:val="xl119"/>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黑体" w:hAnsi="黑体" w:eastAsia="黑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68A5B9-528D-45C0-8E51-F5BB4B77D69D}">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5927</Words>
  <Characters>6474</Characters>
  <Lines>651</Lines>
  <Paragraphs>1102</Paragraphs>
  <TotalTime>674</TotalTime>
  <ScaleCrop>false</ScaleCrop>
  <LinksUpToDate>false</LinksUpToDate>
  <CharactersWithSpaces>6719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2024-03-04T01:39:00Z</dcterms:created>
  <dc:creator>Zhe Zhang</dc:creator>
  <cp:lastModifiedBy>银冬里的盛夏</cp:lastModifiedBy>
  <cp:lastPrinted>2025-05-20T07:21:00Z</cp:lastPrinted>
  <dcterms:modified xsi:type="dcterms:W3CDTF">2026-09-21T07:31:55Z</dcterms:modified>
  <cp:revision>330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2014-03-13T00:00:00Z</vt:filetime>
  </property>
  <property fmtid="{D5CDD505-2E9C-101B-9397-08002B2CF9AE}" pid="3" name="Creator">
    <vt:lpwstr>WPS Office 个人版</vt:lpwstr>
  </property>
  <property fmtid="{D5CDD505-2E9C-101B-9397-08002B2CF9AE}" pid="4" name="LastSaved">
    <vt:filetime>2023-12-13T00:00:00Z</vt:filetime>
  </property>
  <property fmtid="{D5CDD505-2E9C-101B-9397-08002B2CF9AE}" pid="5" name="KSOProductBuildVer">
    <vt:lpwstr>2052-12.1.0.28505</vt:lpwstr>
  </property>
  <property fmtid="{D5CDD505-2E9C-101B-9397-08002B2CF9AE}" pid="6" name="ICV">
    <vt:lpwstr>0786DEAF7FA84610B91DCAD71CF4D30C_13</vt:lpwstr>
  </property>
  <property fmtid="{D5CDD505-2E9C-101B-9397-08002B2CF9AE}" pid="7" name="KSOTemplateDocerSaveRecord">
    <vt:lpwstr>eyJoZGlkIjoiOGQ1Mjk0OWJhNWVjYWRkMDM3YTNkN2ZmMzc3NjlkMDIiLCJ1c2VySWQiOiIzNTA5Nzc4MzgifQ==</vt:lpwstr>
  </property>
</Properties>
</file>