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CA7A5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b/>
          <w:bCs/>
          <w:sz w:val="36"/>
          <w:szCs w:val="36"/>
        </w:rPr>
      </w:pPr>
      <w:bookmarkStart w:id="0" w:name="_GoBack"/>
      <w:r>
        <w:rPr>
          <w:rFonts w:hint="eastAsia" w:ascii="宋体" w:hAnsi="宋体" w:eastAsia="宋体" w:cs="宋体"/>
          <w:b/>
          <w:bCs/>
          <w:sz w:val="36"/>
          <w:szCs w:val="36"/>
        </w:rPr>
        <w:t>《浦东新区中小学食堂“六T”实务现场管理达标（示范）建设规范》编制说明</w:t>
      </w:r>
    </w:p>
    <w:bookmarkEnd w:id="0"/>
    <w:p w14:paraId="71912BC4">
      <w:pPr>
        <w:pStyle w:val="2"/>
        <w:rPr>
          <w:rFonts w:hint="eastAsia"/>
        </w:rPr>
      </w:pPr>
    </w:p>
    <w:p w14:paraId="39FE4502">
      <w:pPr>
        <w:rPr>
          <w:rFonts w:hint="eastAsia" w:ascii="宋体" w:hAnsi="宋体" w:eastAsia="宋体" w:cs="宋体"/>
          <w:b/>
          <w:bCs/>
          <w:sz w:val="30"/>
          <w:szCs w:val="30"/>
        </w:rPr>
      </w:pPr>
      <w:r>
        <w:rPr>
          <w:rFonts w:hint="eastAsia" w:ascii="宋体" w:hAnsi="宋体" w:eastAsia="宋体" w:cs="宋体"/>
          <w:b/>
          <w:bCs/>
          <w:sz w:val="30"/>
          <w:szCs w:val="30"/>
        </w:rPr>
        <w:t>一、编制背景与目的</w:t>
      </w:r>
    </w:p>
    <w:p w14:paraId="4F6D3189">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rPr>
        <w:t>校园食品安全是公共卫生安全与未成年人健康保障的核心环节，中小学食堂作为师生集中供餐的重点场所，其规范化、标准化管理直接关系广大青少年身体健康与校园安全稳定。随着食品安全监管体系持续完善，国家及上海市相继出台餐饮服务、校园食品安全、主体责任落实等一系列新规，对学校食堂现场管理、风险防控、日常运维提出了更高、更细化的要求。</w:t>
      </w:r>
    </w:p>
    <w:p w14:paraId="15BCAC09">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rPr>
        <w:t>浦东新区作为教育资源集中、师生供餐体量大的重点区域，辖区内中小学食堂业态多样、运营模式不同，部分食堂存在现场管理不规范、流程标准不统一、日常管控精细化不足、问题整改闭环不到位等共性问题，传统粗放式管理模式已无法适配新时代校园食品安全监管与校园精细化治理需求。</w:t>
      </w:r>
    </w:p>
    <w:p w14:paraId="4AD21C70">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rPr>
        <w:t>“六T”实务现场管理模式以“天天处理、天天整合、天天清扫、天天规范、天天检查、天天改进”为核心，是适配餐饮服务场景的常态化、标准化、精细化管理体系，能够有效破解食堂现场管理碎片化、整改流于形式、风险隐患反复出现等痛点。目前，国内尚无针对浦东新区中小学食堂专属的六T达标及示范建设标准，行业缺乏统一的建设依据、评判尺度和整改标准，导致区域内食堂食品安全管理水平参差不齐、示范引领作用难以发挥。</w:t>
      </w:r>
    </w:p>
    <w:p w14:paraId="4A1CA4C5">
      <w:pPr>
        <w:rPr>
          <w:rFonts w:hint="eastAsia" w:ascii="宋体" w:hAnsi="宋体" w:eastAsia="宋体" w:cs="宋体"/>
          <w:b w:val="0"/>
          <w:bCs w:val="0"/>
          <w:sz w:val="30"/>
          <w:szCs w:val="30"/>
        </w:rPr>
      </w:pPr>
      <w:r>
        <w:rPr>
          <w:rFonts w:hint="eastAsia" w:ascii="宋体" w:hAnsi="宋体" w:eastAsia="宋体" w:cs="宋体"/>
          <w:b w:val="0"/>
          <w:bCs w:val="0"/>
          <w:sz w:val="30"/>
          <w:szCs w:val="30"/>
        </w:rPr>
        <w:t>基于此，为统一浦东新区中小学食堂现场管理建设标准、规范食堂运营全流程、压实食品安全主体责任、构建常态化风险防控机制，打造可复制、可推广的校园食堂规范化管理样板，特编制本规范。本标准旨在明确中小学食堂六T管理的基本要求、核心内涵、规范标准和达标示范评定依据，全面提升辖区中小学食堂食品安全管理标准化、精细化、常态化水平，筑牢校园食品安全防线，保障师生饮食安全与身体健康。</w:t>
      </w:r>
    </w:p>
    <w:p w14:paraId="3481799D">
      <w:pPr>
        <w:ind w:firstLine="602" w:firstLineChars="200"/>
        <w:rPr>
          <w:rFonts w:hint="eastAsia" w:ascii="宋体" w:hAnsi="宋体" w:eastAsia="宋体" w:cs="宋体"/>
          <w:b/>
          <w:bCs/>
          <w:sz w:val="30"/>
          <w:szCs w:val="30"/>
        </w:rPr>
      </w:pPr>
      <w:r>
        <w:rPr>
          <w:rFonts w:hint="eastAsia" w:ascii="宋体" w:hAnsi="宋体" w:eastAsia="宋体" w:cs="宋体"/>
          <w:b/>
          <w:bCs/>
          <w:sz w:val="30"/>
          <w:szCs w:val="30"/>
        </w:rPr>
        <w:t>二、编制依据</w:t>
      </w:r>
    </w:p>
    <w:p w14:paraId="4BAB81B0">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rPr>
        <w:t>本规范严格遵循GB/T 1.1-2020《标准化工作导则 第1部分：标准化文件的结构和起草规则》编制，结构体例、术语定义、条款设置均符合团体标准编制规范要求，同时严格对标国家、行业及地方现行有效标准与规章制度，确保内容合法合规、科学严谨、贴合实操。</w:t>
      </w:r>
    </w:p>
    <w:p w14:paraId="3FD35CD8">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rPr>
        <w:t>规范性技术依据主要包括：GB 31654《食品安全国家标准 餐饮服务通用卫生规范》、GB/T 29315《中小学、幼儿园安全防范要求》、《餐饮服务食品安全操作规范》《中小学校园食品安全和膳食经费管理工作指引》《集中用餐单位落实食品安全主体责任监督管理规定》等国家及行业标准、规范性文件。同时，结合浦东新区中小学食堂运营实际、日常监管重点、风险隐患特点，吸纳区域内优秀示范食堂管理经验，兼顾合规性、实操性和前瞻性，确保标准落地可行、贴合区域管理需求。</w:t>
      </w:r>
    </w:p>
    <w:p w14:paraId="1C5CB824">
      <w:pPr>
        <w:ind w:firstLine="602" w:firstLineChars="200"/>
        <w:rPr>
          <w:rFonts w:hint="eastAsia" w:ascii="宋体" w:hAnsi="宋体" w:eastAsia="宋体" w:cs="宋体"/>
          <w:b/>
          <w:bCs/>
          <w:sz w:val="30"/>
          <w:szCs w:val="30"/>
        </w:rPr>
      </w:pPr>
      <w:r>
        <w:rPr>
          <w:rFonts w:hint="eastAsia" w:ascii="宋体" w:hAnsi="宋体" w:eastAsia="宋体" w:cs="宋体"/>
          <w:b/>
          <w:bCs/>
          <w:sz w:val="30"/>
          <w:szCs w:val="30"/>
        </w:rPr>
        <w:t>三、编制原则</w:t>
      </w:r>
    </w:p>
    <w:p w14:paraId="255447E1">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rPr>
        <w:t>一是合规性原则。本规范全部条款严格契合现行食品安全法律法规、国标行标及校园安全管理规定，不突破现有监管要求，全面落实食品安全主体责任、餐饮操作规范、校园安全防控等强制性要求，确保标准合法合规、权威规范。</w:t>
      </w:r>
    </w:p>
    <w:p w14:paraId="760B9847">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rPr>
        <w:t>二是实用性原则。立足浦东新区中小学食堂运营实际，摒弃形式化、理想化条款，聚焦食堂个人卫生、场所环境、仓库存储、冷链管理、加工制作、专间操作、清洗消毒、台账管理、安全防控等核心场景，细化实操标准，明确具体管控要求，适配不同规模、不同运营模式的中小学食堂落地执行。</w:t>
      </w:r>
    </w:p>
    <w:p w14:paraId="33322F51">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rPr>
        <w:t>三是系统性原则。以“六T”六大核心内涵为框架，构建“组织人员-制度体系-设施环境-现场操作-日常管控-持续改进”的全链条管理体系，实现从静态硬件达标到动态常态化管理的全覆盖，形成闭环管理机制。</w:t>
      </w:r>
    </w:p>
    <w:p w14:paraId="581F0958">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rPr>
        <w:t>四是引领性原则。区分达标食堂与示范食堂分级标准，通过差异化评分体系树立行业标杆，引导辖区食堂从“合规达标”向“提质创优”升级，发挥示范食堂的引领辐射作用，推动区域校园食堂食品安全管理水平整体提升。</w:t>
      </w:r>
    </w:p>
    <w:p w14:paraId="45703C51">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rPr>
        <w:t>五是动态改进原则。紧扣六T“天天改进”核心理念，建立日常检查、问题排查、整改提升、总结优化的常态化机制，适配食品安全监管政策更新、风险隐患变化，实现食堂管理持续迭代升级。</w:t>
      </w:r>
    </w:p>
    <w:p w14:paraId="6F5067D8">
      <w:pPr>
        <w:ind w:firstLine="602" w:firstLineChars="200"/>
        <w:rPr>
          <w:rFonts w:hint="eastAsia" w:ascii="宋体" w:hAnsi="宋体" w:eastAsia="宋体" w:cs="宋体"/>
          <w:b/>
          <w:bCs/>
          <w:sz w:val="30"/>
          <w:szCs w:val="30"/>
        </w:rPr>
      </w:pPr>
      <w:r>
        <w:rPr>
          <w:rFonts w:hint="eastAsia" w:ascii="宋体" w:hAnsi="宋体" w:eastAsia="宋体" w:cs="宋体"/>
          <w:b/>
          <w:bCs/>
          <w:sz w:val="30"/>
          <w:szCs w:val="30"/>
        </w:rPr>
        <w:t>四、主要内容说明</w:t>
      </w:r>
    </w:p>
    <w:p w14:paraId="6C29A3FF">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rPr>
        <w:t>本规范共设置范围、规范性引用文件、术语和定义、基本要求、内涵要点、规范标准六大核心章节，全面覆盖浦东新区中小学食堂六T建设全维度要求，核心内容如下：</w:t>
      </w:r>
    </w:p>
    <w:p w14:paraId="62DB469F">
      <w:pPr>
        <w:numPr>
          <w:numId w:val="0"/>
        </w:numPr>
        <w:ind w:firstLine="300" w:firstLineChars="100"/>
        <w:rPr>
          <w:rFonts w:hint="eastAsia" w:ascii="宋体" w:hAnsi="宋体" w:eastAsia="宋体" w:cs="宋体"/>
          <w:b w:val="0"/>
          <w:bCs w:val="0"/>
          <w:sz w:val="30"/>
          <w:szCs w:val="30"/>
        </w:rPr>
      </w:pPr>
      <w:r>
        <w:rPr>
          <w:rFonts w:hint="eastAsia" w:ascii="宋体" w:hAnsi="宋体" w:eastAsia="宋体" w:cs="宋体"/>
          <w:b w:val="0"/>
          <w:bCs w:val="0"/>
          <w:sz w:val="30"/>
          <w:szCs w:val="30"/>
          <w:lang w:eastAsia="zh-CN"/>
        </w:rPr>
        <w:t>（</w:t>
      </w:r>
      <w:r>
        <w:rPr>
          <w:rFonts w:hint="eastAsia" w:ascii="宋体" w:hAnsi="宋体" w:eastAsia="宋体" w:cs="宋体"/>
          <w:b w:val="0"/>
          <w:bCs w:val="0"/>
          <w:sz w:val="30"/>
          <w:szCs w:val="30"/>
          <w:lang w:val="en-US" w:eastAsia="zh-CN"/>
        </w:rPr>
        <w:t>1</w:t>
      </w:r>
      <w:r>
        <w:rPr>
          <w:rFonts w:hint="eastAsia" w:ascii="宋体" w:hAnsi="宋体" w:eastAsia="宋体" w:cs="宋体"/>
          <w:b w:val="0"/>
          <w:bCs w:val="0"/>
          <w:sz w:val="30"/>
          <w:szCs w:val="30"/>
          <w:lang w:eastAsia="zh-CN"/>
        </w:rPr>
        <w:t>）</w:t>
      </w:r>
      <w:r>
        <w:rPr>
          <w:rFonts w:hint="eastAsia" w:ascii="宋体" w:hAnsi="宋体" w:eastAsia="宋体" w:cs="宋体"/>
          <w:b w:val="0"/>
          <w:bCs w:val="0"/>
          <w:sz w:val="30"/>
          <w:szCs w:val="30"/>
        </w:rPr>
        <w:t>基础通用模块。明确规范适用范围为浦东新区全部中小学食堂六T实务现场管理达标及示范建设工作，界定中小学、六T实务现场管理、达标食堂、示范食堂等核心术语，统一行业认知，明确评分分级标准，为后续评定工作提供清晰依据。同时梳理现行有效国家、行业标准及监管文件，确立本规范的合规基础。</w:t>
      </w:r>
    </w:p>
    <w:p w14:paraId="353D910E">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lang w:eastAsia="zh-CN"/>
        </w:rPr>
        <w:t>（</w:t>
      </w:r>
      <w:r>
        <w:rPr>
          <w:rFonts w:hint="eastAsia" w:ascii="宋体" w:hAnsi="宋体" w:eastAsia="宋体" w:cs="宋体"/>
          <w:b w:val="0"/>
          <w:bCs w:val="0"/>
          <w:sz w:val="30"/>
          <w:szCs w:val="30"/>
          <w:lang w:val="en-US" w:eastAsia="zh-CN"/>
        </w:rPr>
        <w:t>2</w:t>
      </w:r>
      <w:r>
        <w:rPr>
          <w:rFonts w:hint="eastAsia" w:ascii="宋体" w:hAnsi="宋体" w:eastAsia="宋体" w:cs="宋体"/>
          <w:b w:val="0"/>
          <w:bCs w:val="0"/>
          <w:sz w:val="30"/>
          <w:szCs w:val="30"/>
          <w:lang w:eastAsia="zh-CN"/>
        </w:rPr>
        <w:t>）</w:t>
      </w:r>
      <w:r>
        <w:rPr>
          <w:rFonts w:hint="eastAsia" w:ascii="宋体" w:hAnsi="宋体" w:eastAsia="宋体" w:cs="宋体"/>
          <w:b w:val="0"/>
          <w:bCs w:val="0"/>
          <w:sz w:val="30"/>
          <w:szCs w:val="30"/>
        </w:rPr>
        <w:t>基本管理要求。从组织、人员、制度、设施、环境五个维度确立食堂管理底线要求。明确需建立多主体参与的食堂管理领导小组，压实校长第一责任人、食品安全总监、食品安全员三级责任体系，构建权责清晰的食品安全责任链条。要求食堂建立覆盖采购查验、加工制作、清洗消毒、留样管理、隐患自查、应急处置等全流程的管理制度，实现制度动态更新、适配监管新规，同时明确设施设备、场所环境需符合国家通用卫生规范，夯实硬件管理基础。</w:t>
      </w:r>
    </w:p>
    <w:p w14:paraId="150F6974">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lang w:eastAsia="zh-CN"/>
        </w:rPr>
        <w:t>（</w:t>
      </w:r>
      <w:r>
        <w:rPr>
          <w:rFonts w:hint="eastAsia" w:ascii="宋体" w:hAnsi="宋体" w:eastAsia="宋体" w:cs="宋体"/>
          <w:b w:val="0"/>
          <w:bCs w:val="0"/>
          <w:sz w:val="30"/>
          <w:szCs w:val="30"/>
          <w:lang w:val="en-US" w:eastAsia="zh-CN"/>
        </w:rPr>
        <w:t>3</w:t>
      </w:r>
      <w:r>
        <w:rPr>
          <w:rFonts w:hint="eastAsia" w:ascii="宋体" w:hAnsi="宋体" w:eastAsia="宋体" w:cs="宋体"/>
          <w:b w:val="0"/>
          <w:bCs w:val="0"/>
          <w:sz w:val="30"/>
          <w:szCs w:val="30"/>
          <w:lang w:eastAsia="zh-CN"/>
        </w:rPr>
        <w:t>）</w:t>
      </w:r>
      <w:r>
        <w:rPr>
          <w:rFonts w:hint="eastAsia" w:ascii="宋体" w:hAnsi="宋体" w:eastAsia="宋体" w:cs="宋体"/>
          <w:b w:val="0"/>
          <w:bCs w:val="0"/>
          <w:sz w:val="30"/>
          <w:szCs w:val="30"/>
        </w:rPr>
        <w:t>六T核心内涵要点。围绕“六个天天”核心体系，明确天天处理、天天整合、天天清扫、天天规范、天天检查、天天改进的核心内涵与落地逻辑，聚焦现场精细化管理，要求每日清理非必需品、分类管控必需品，实现物品定点存放、标识规范、先进先出，落实分区清扫责任、标准化操作、每日自查整改，构建常态化、长效化现场管理模式。</w:t>
      </w:r>
    </w:p>
    <w:p w14:paraId="435E05FD">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lang w:eastAsia="zh-CN"/>
        </w:rPr>
        <w:t>（</w:t>
      </w:r>
      <w:r>
        <w:rPr>
          <w:rFonts w:hint="eastAsia" w:ascii="宋体" w:hAnsi="宋体" w:eastAsia="宋体" w:cs="宋体"/>
          <w:b w:val="0"/>
          <w:bCs w:val="0"/>
          <w:sz w:val="30"/>
          <w:szCs w:val="30"/>
          <w:lang w:val="en-US" w:eastAsia="zh-CN"/>
        </w:rPr>
        <w:t>4</w:t>
      </w:r>
      <w:r>
        <w:rPr>
          <w:rFonts w:hint="eastAsia" w:ascii="宋体" w:hAnsi="宋体" w:eastAsia="宋体" w:cs="宋体"/>
          <w:b w:val="0"/>
          <w:bCs w:val="0"/>
          <w:sz w:val="30"/>
          <w:szCs w:val="30"/>
          <w:lang w:eastAsia="zh-CN"/>
        </w:rPr>
        <w:t>）</w:t>
      </w:r>
      <w:r>
        <w:rPr>
          <w:rFonts w:hint="eastAsia" w:ascii="宋体" w:hAnsi="宋体" w:eastAsia="宋体" w:cs="宋体"/>
          <w:b w:val="0"/>
          <w:bCs w:val="0"/>
          <w:sz w:val="30"/>
          <w:szCs w:val="30"/>
        </w:rPr>
        <w:t>专项规范标准。为本规范核心实操章节，细化十大专项管理标准。</w:t>
      </w:r>
    </w:p>
    <w:p w14:paraId="72FE28BF">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lang w:val="en-US" w:eastAsia="zh-CN"/>
        </w:rPr>
        <w:t>1、</w:t>
      </w:r>
      <w:r>
        <w:rPr>
          <w:rFonts w:hint="eastAsia" w:ascii="宋体" w:hAnsi="宋体" w:eastAsia="宋体" w:cs="宋体"/>
          <w:b w:val="0"/>
          <w:bCs w:val="0"/>
          <w:sz w:val="30"/>
          <w:szCs w:val="30"/>
        </w:rPr>
        <w:t>个人卫生标准，明确从业人员健康管理、晨检制度、操作规范、个人防护、手部消毒等硬性要求，杜绝人员操作带来的食品安全风险。</w:t>
      </w:r>
    </w:p>
    <w:p w14:paraId="2CDF6C4D">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lang w:val="en-US" w:eastAsia="zh-CN"/>
        </w:rPr>
        <w:t>2、</w:t>
      </w:r>
      <w:r>
        <w:rPr>
          <w:rFonts w:hint="eastAsia" w:ascii="宋体" w:hAnsi="宋体" w:eastAsia="宋体" w:cs="宋体"/>
          <w:b w:val="0"/>
          <w:bCs w:val="0"/>
          <w:sz w:val="30"/>
          <w:szCs w:val="30"/>
        </w:rPr>
        <w:t>场所环境标准，规范食堂硬件设施、分区布局、清洁消杀、有害生物防控、孔洞封堵等要求，保障作业环境安全合规。</w:t>
      </w:r>
    </w:p>
    <w:p w14:paraId="61F43CD8">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lang w:val="en-US" w:eastAsia="zh-CN"/>
        </w:rPr>
        <w:t>3、</w:t>
      </w:r>
      <w:r>
        <w:rPr>
          <w:rFonts w:hint="eastAsia" w:ascii="宋体" w:hAnsi="宋体" w:eastAsia="宋体" w:cs="宋体"/>
          <w:b w:val="0"/>
          <w:bCs w:val="0"/>
          <w:sz w:val="30"/>
          <w:szCs w:val="30"/>
        </w:rPr>
        <w:t>仓库管理标准，严格落实进货查验、索证索票、台账留存、分区分类、离墙离地存放、临期变质食品处置等要求，规范食材存储全流程。</w:t>
      </w:r>
    </w:p>
    <w:p w14:paraId="7EA9E49B">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lang w:val="en-US" w:eastAsia="zh-CN"/>
        </w:rPr>
        <w:t>4、</w:t>
      </w:r>
      <w:r>
        <w:rPr>
          <w:rFonts w:hint="eastAsia" w:ascii="宋体" w:hAnsi="宋体" w:eastAsia="宋体" w:cs="宋体"/>
          <w:b w:val="0"/>
          <w:bCs w:val="0"/>
          <w:sz w:val="30"/>
          <w:szCs w:val="30"/>
        </w:rPr>
        <w:t>冷链留样管理标准，明确食品留样重量、温度、时长、双人双锁管理要求，规范冷藏冷冻食材存储方式，杜绝反复冻融风险。</w:t>
      </w:r>
    </w:p>
    <w:p w14:paraId="092B56B5">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lang w:val="en-US" w:eastAsia="zh-CN"/>
        </w:rPr>
        <w:t>5、</w:t>
      </w:r>
      <w:r>
        <w:rPr>
          <w:rFonts w:hint="eastAsia" w:ascii="宋体" w:hAnsi="宋体" w:eastAsia="宋体" w:cs="宋体"/>
          <w:b w:val="0"/>
          <w:bCs w:val="0"/>
          <w:sz w:val="30"/>
          <w:szCs w:val="30"/>
        </w:rPr>
        <w:t>加工制作标准，明确中小学食堂禁制售高风险食品清单，规范工器具分区使用、食材烧熟煮透温度标准，严控加工环节风险。</w:t>
      </w:r>
    </w:p>
    <w:p w14:paraId="6D951715">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lang w:val="en-US" w:eastAsia="zh-CN"/>
        </w:rPr>
        <w:t>6、</w:t>
      </w:r>
      <w:r>
        <w:rPr>
          <w:rFonts w:hint="eastAsia" w:ascii="宋体" w:hAnsi="宋体" w:eastAsia="宋体" w:cs="宋体"/>
          <w:b w:val="0"/>
          <w:bCs w:val="0"/>
          <w:sz w:val="30"/>
          <w:szCs w:val="30"/>
        </w:rPr>
        <w:t>专间操作标准，细化专间标识、专用设备、人员防护、温度管控、作业规范等要求，杜绝交叉污染。</w:t>
      </w:r>
    </w:p>
    <w:p w14:paraId="49417EAE">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lang w:val="en-US" w:eastAsia="zh-CN"/>
        </w:rPr>
        <w:t>7、</w:t>
      </w:r>
      <w:r>
        <w:rPr>
          <w:rFonts w:hint="eastAsia" w:ascii="宋体" w:hAnsi="宋体" w:eastAsia="宋体" w:cs="宋体"/>
          <w:b w:val="0"/>
          <w:bCs w:val="0"/>
          <w:sz w:val="30"/>
          <w:szCs w:val="30"/>
        </w:rPr>
        <w:t>物品存放规范，明确调味料等耗材的存放、标识、开封管理标准。</w:t>
      </w:r>
    </w:p>
    <w:p w14:paraId="4E157D30">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lang w:val="en-US" w:eastAsia="zh-CN"/>
        </w:rPr>
        <w:t>8、</w:t>
      </w:r>
      <w:r>
        <w:rPr>
          <w:rFonts w:hint="eastAsia" w:ascii="宋体" w:hAnsi="宋体" w:eastAsia="宋体" w:cs="宋体"/>
          <w:b w:val="0"/>
          <w:bCs w:val="0"/>
          <w:sz w:val="30"/>
          <w:szCs w:val="30"/>
        </w:rPr>
        <w:t>安全卫生管理，整合餐厨废弃物处置、明厨亮灶监控、烟道清洗、消防安全、门禁管控、燃气安全、校外供餐监管等安全要求，实现食安与安防一体化管控。</w:t>
      </w:r>
    </w:p>
    <w:p w14:paraId="221669C5">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lang w:val="en-US" w:eastAsia="zh-CN"/>
        </w:rPr>
        <w:t>9、</w:t>
      </w:r>
      <w:r>
        <w:rPr>
          <w:rFonts w:hint="eastAsia" w:ascii="宋体" w:hAnsi="宋体" w:eastAsia="宋体" w:cs="宋体"/>
          <w:b w:val="0"/>
          <w:bCs w:val="0"/>
          <w:sz w:val="30"/>
          <w:szCs w:val="30"/>
        </w:rPr>
        <w:t>清洗消毒标准，规范消杀设备运行、餐具分区清洗、消杀存储、专间空气消毒等流程，保障消杀效果达标。</w:t>
      </w:r>
    </w:p>
    <w:p w14:paraId="6E7A0575">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lang w:val="en-US" w:eastAsia="zh-CN"/>
        </w:rPr>
        <w:t>10、</w:t>
      </w:r>
      <w:r>
        <w:rPr>
          <w:rFonts w:hint="eastAsia" w:ascii="宋体" w:hAnsi="宋体" w:eastAsia="宋体" w:cs="宋体"/>
          <w:b w:val="0"/>
          <w:bCs w:val="0"/>
          <w:sz w:val="30"/>
          <w:szCs w:val="30"/>
        </w:rPr>
        <w:t>台账公示与培训管理，明确信息公示内容、食品添加剂使用记录、日管控周排查月调度机制、从业人员培训考核要求，实现管理全程可追溯、可核查。</w:t>
      </w:r>
    </w:p>
    <w:p w14:paraId="62C690F5">
      <w:pPr>
        <w:ind w:firstLine="602" w:firstLineChars="200"/>
        <w:rPr>
          <w:rFonts w:hint="eastAsia" w:ascii="宋体" w:hAnsi="宋体" w:eastAsia="宋体" w:cs="宋体"/>
          <w:b/>
          <w:bCs/>
          <w:sz w:val="30"/>
          <w:szCs w:val="30"/>
        </w:rPr>
      </w:pPr>
      <w:r>
        <w:rPr>
          <w:rFonts w:hint="eastAsia" w:ascii="宋体" w:hAnsi="宋体" w:eastAsia="宋体" w:cs="宋体"/>
          <w:b/>
          <w:bCs/>
          <w:sz w:val="30"/>
          <w:szCs w:val="30"/>
        </w:rPr>
        <w:t>五、创新点与特色</w:t>
      </w:r>
    </w:p>
    <w:p w14:paraId="3FA90246">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lang w:eastAsia="zh-CN"/>
        </w:rPr>
        <w:t>（</w:t>
      </w:r>
      <w:r>
        <w:rPr>
          <w:rFonts w:hint="eastAsia" w:ascii="宋体" w:hAnsi="宋体" w:eastAsia="宋体" w:cs="宋体"/>
          <w:b w:val="0"/>
          <w:bCs w:val="0"/>
          <w:sz w:val="30"/>
          <w:szCs w:val="30"/>
          <w:lang w:val="en-US" w:eastAsia="zh-CN"/>
        </w:rPr>
        <w:t>1</w:t>
      </w:r>
      <w:r>
        <w:rPr>
          <w:rFonts w:hint="eastAsia" w:ascii="宋体" w:hAnsi="宋体" w:eastAsia="宋体" w:cs="宋体"/>
          <w:b w:val="0"/>
          <w:bCs w:val="0"/>
          <w:sz w:val="30"/>
          <w:szCs w:val="30"/>
          <w:lang w:eastAsia="zh-CN"/>
        </w:rPr>
        <w:t>）</w:t>
      </w:r>
      <w:r>
        <w:rPr>
          <w:rFonts w:hint="eastAsia" w:ascii="宋体" w:hAnsi="宋体" w:eastAsia="宋体" w:cs="宋体"/>
          <w:b w:val="0"/>
          <w:bCs w:val="0"/>
          <w:sz w:val="30"/>
          <w:szCs w:val="30"/>
        </w:rPr>
        <w:t>场景适配性更强。专门针对浦东新区中小学食堂场景定制，贴合区域监管要求与校园供餐特点，区别于通用餐饮六T管理标准，针对性解决校园食堂高频风险隐患。</w:t>
      </w:r>
    </w:p>
    <w:p w14:paraId="76E2398B">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lang w:eastAsia="zh-CN"/>
        </w:rPr>
        <w:t>（</w:t>
      </w:r>
      <w:r>
        <w:rPr>
          <w:rFonts w:hint="eastAsia" w:ascii="宋体" w:hAnsi="宋体" w:eastAsia="宋体" w:cs="宋体"/>
          <w:b w:val="0"/>
          <w:bCs w:val="0"/>
          <w:sz w:val="30"/>
          <w:szCs w:val="30"/>
          <w:lang w:val="en-US" w:eastAsia="zh-CN"/>
        </w:rPr>
        <w:t>2</w:t>
      </w:r>
      <w:r>
        <w:rPr>
          <w:rFonts w:hint="eastAsia" w:ascii="宋体" w:hAnsi="宋体" w:eastAsia="宋体" w:cs="宋体"/>
          <w:b w:val="0"/>
          <w:bCs w:val="0"/>
          <w:sz w:val="30"/>
          <w:szCs w:val="30"/>
          <w:lang w:eastAsia="zh-CN"/>
        </w:rPr>
        <w:t>）</w:t>
      </w:r>
      <w:r>
        <w:rPr>
          <w:rFonts w:hint="eastAsia" w:ascii="宋体" w:hAnsi="宋体" w:eastAsia="宋体" w:cs="宋体"/>
          <w:b w:val="0"/>
          <w:bCs w:val="0"/>
          <w:sz w:val="30"/>
          <w:szCs w:val="30"/>
        </w:rPr>
        <w:t>责任体系更清晰，固化校园三级食品安全责任体系，明确校领导、食品安全总监、食品安全员岗位职责，压实全员责任。</w:t>
      </w:r>
    </w:p>
    <w:p w14:paraId="28FA6A9E">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lang w:eastAsia="zh-CN"/>
        </w:rPr>
        <w:t>（</w:t>
      </w:r>
      <w:r>
        <w:rPr>
          <w:rFonts w:hint="eastAsia" w:ascii="宋体" w:hAnsi="宋体" w:eastAsia="宋体" w:cs="宋体"/>
          <w:b w:val="0"/>
          <w:bCs w:val="0"/>
          <w:sz w:val="30"/>
          <w:szCs w:val="30"/>
          <w:lang w:val="en-US" w:eastAsia="zh-CN"/>
        </w:rPr>
        <w:t>3</w:t>
      </w:r>
      <w:r>
        <w:rPr>
          <w:rFonts w:hint="eastAsia" w:ascii="宋体" w:hAnsi="宋体" w:eastAsia="宋体" w:cs="宋体"/>
          <w:b w:val="0"/>
          <w:bCs w:val="0"/>
          <w:sz w:val="30"/>
          <w:szCs w:val="30"/>
          <w:lang w:eastAsia="zh-CN"/>
        </w:rPr>
        <w:t>）</w:t>
      </w:r>
      <w:r>
        <w:rPr>
          <w:rFonts w:hint="eastAsia" w:ascii="宋体" w:hAnsi="宋体" w:eastAsia="宋体" w:cs="宋体"/>
          <w:b w:val="0"/>
          <w:bCs w:val="0"/>
          <w:sz w:val="30"/>
          <w:szCs w:val="30"/>
        </w:rPr>
        <w:t>实现食安与安防融合，整合食品安全、消防安全、燃气安全、门禁管理、校外供餐监管等多维度要求，构建一体化安全管理体系。</w:t>
      </w:r>
    </w:p>
    <w:p w14:paraId="3BCE3D15">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lang w:eastAsia="zh-CN"/>
        </w:rPr>
        <w:t>（</w:t>
      </w:r>
      <w:r>
        <w:rPr>
          <w:rFonts w:hint="eastAsia" w:ascii="宋体" w:hAnsi="宋体" w:eastAsia="宋体" w:cs="宋体"/>
          <w:b w:val="0"/>
          <w:bCs w:val="0"/>
          <w:sz w:val="30"/>
          <w:szCs w:val="30"/>
          <w:lang w:val="en-US" w:eastAsia="zh-CN"/>
        </w:rPr>
        <w:t>4</w:t>
      </w:r>
      <w:r>
        <w:rPr>
          <w:rFonts w:hint="eastAsia" w:ascii="宋体" w:hAnsi="宋体" w:eastAsia="宋体" w:cs="宋体"/>
          <w:b w:val="0"/>
          <w:bCs w:val="0"/>
          <w:sz w:val="30"/>
          <w:szCs w:val="30"/>
          <w:lang w:eastAsia="zh-CN"/>
        </w:rPr>
        <w:t>）</w:t>
      </w:r>
      <w:r>
        <w:rPr>
          <w:rFonts w:hint="eastAsia" w:ascii="宋体" w:hAnsi="宋体" w:eastAsia="宋体" w:cs="宋体"/>
          <w:b w:val="0"/>
          <w:bCs w:val="0"/>
          <w:sz w:val="30"/>
          <w:szCs w:val="30"/>
        </w:rPr>
        <w:t>分级管控机制完善，设置达标、示范两级评定标准，兼顾普惠达标与提质创优，适配食堂差异化发展需求。</w:t>
      </w:r>
    </w:p>
    <w:p w14:paraId="1D2E18D3">
      <w:pPr>
        <w:ind w:firstLine="602" w:firstLineChars="200"/>
        <w:rPr>
          <w:rFonts w:hint="eastAsia" w:ascii="宋体" w:hAnsi="宋体" w:eastAsia="宋体" w:cs="宋体"/>
          <w:b/>
          <w:bCs/>
          <w:sz w:val="30"/>
          <w:szCs w:val="30"/>
        </w:rPr>
      </w:pPr>
      <w:r>
        <w:rPr>
          <w:rFonts w:hint="eastAsia" w:ascii="宋体" w:hAnsi="宋体" w:eastAsia="宋体" w:cs="宋体"/>
          <w:b/>
          <w:bCs/>
          <w:sz w:val="30"/>
          <w:szCs w:val="30"/>
        </w:rPr>
        <w:t>六、实施建议</w:t>
      </w:r>
    </w:p>
    <w:p w14:paraId="3BB4B9A9">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rPr>
        <w:t>本规范发布实施后，建议浦东新区教育、市场监管部门统筹推进辖区中小学食堂六T达标示范创建工作，组织食堂管理人员、从业人员开展专项培训，全面普及规范要求。各中小学食堂需对照本规范开展自查整改，完善硬件设施、健全管理制度、规范日常操作，落实每日六T管控要求。</w:t>
      </w:r>
    </w:p>
    <w:p w14:paraId="4D007AC1">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rPr>
        <w:t>同时建立常态化督导检查机制，开展分级评定与动态复核，对示范食堂予以推广宣传，对未达标食堂限期整改，持续提升区域中小学食堂食品安全规范化管理水平，切实守护师生饮食安全。</w:t>
      </w:r>
    </w:p>
    <w:p w14:paraId="4DA0FCBF">
      <w:pPr>
        <w:ind w:firstLine="602" w:firstLineChars="200"/>
        <w:rPr>
          <w:rFonts w:hint="eastAsia" w:ascii="宋体" w:hAnsi="宋体" w:eastAsia="宋体" w:cs="宋体"/>
          <w:b/>
          <w:bCs/>
          <w:sz w:val="30"/>
          <w:szCs w:val="30"/>
        </w:rPr>
      </w:pPr>
      <w:r>
        <w:rPr>
          <w:rFonts w:hint="eastAsia" w:ascii="宋体" w:hAnsi="宋体" w:eastAsia="宋体" w:cs="宋体"/>
          <w:b/>
          <w:bCs/>
          <w:sz w:val="30"/>
          <w:szCs w:val="30"/>
        </w:rPr>
        <w:t>七、其他说明</w:t>
      </w:r>
    </w:p>
    <w:p w14:paraId="7F1D605E">
      <w:pPr>
        <w:ind w:firstLine="600" w:firstLineChars="200"/>
        <w:rPr>
          <w:rFonts w:hint="eastAsia" w:ascii="宋体" w:hAnsi="宋体" w:eastAsia="宋体" w:cs="宋体"/>
          <w:b w:val="0"/>
          <w:bCs w:val="0"/>
          <w:sz w:val="30"/>
          <w:szCs w:val="30"/>
        </w:rPr>
      </w:pPr>
      <w:r>
        <w:rPr>
          <w:rFonts w:hint="eastAsia" w:ascii="宋体" w:hAnsi="宋体" w:eastAsia="宋体" w:cs="宋体"/>
          <w:b w:val="0"/>
          <w:bCs w:val="0"/>
          <w:sz w:val="30"/>
          <w:szCs w:val="30"/>
        </w:rPr>
        <w:t>本规范为自主研制团体标准，无相关专利争议，编制过程充分结合国家、行业现行标准及区域实操经验，内容科学、合规、可行。后续将根据食品安全法律法规、国标行标更新及区域校园食堂管理发展需求，适时修订完善，持续提升标准的适用性和引领性。</w:t>
      </w:r>
    </w:p>
    <w:p w14:paraId="5046DE35">
      <w:pPr>
        <w:rPr>
          <w:rFonts w:hint="eastAsia" w:ascii="黑体" w:hAnsi="黑体" w:eastAsia="黑体"/>
          <w:sz w:val="36"/>
          <w:szCs w:val="36"/>
        </w:rPr>
      </w:pPr>
    </w:p>
    <w:p w14:paraId="3C9A8E8E">
      <w:pPr>
        <w:pStyle w:val="2"/>
        <w:rPr>
          <w:rFonts w:hint="eastAsia"/>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27FC0">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B7FEA4">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AB7FEA4">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26"/>
      <w:suff w:val="nothing"/>
      <w:lvlText w:val="%1.%2　"/>
      <w:lvlJc w:val="left"/>
      <w:pPr>
        <w:ind w:left="426"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pStyle w:val="25"/>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708"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ZlZTg3ODBmYTI4YWVmMGVmZTJmZWYzNjlmNjY4YzcifQ=="/>
  </w:docVars>
  <w:rsids>
    <w:rsidRoot w:val="000A3F0B"/>
    <w:rsid w:val="000149B1"/>
    <w:rsid w:val="000A3F0B"/>
    <w:rsid w:val="001C518C"/>
    <w:rsid w:val="0072605F"/>
    <w:rsid w:val="00DC725D"/>
    <w:rsid w:val="0555214E"/>
    <w:rsid w:val="0D147341"/>
    <w:rsid w:val="0DA6302B"/>
    <w:rsid w:val="0E761786"/>
    <w:rsid w:val="17161A1F"/>
    <w:rsid w:val="37906A25"/>
    <w:rsid w:val="3F45644A"/>
    <w:rsid w:val="3F9C5ABD"/>
    <w:rsid w:val="4CCB3D37"/>
    <w:rsid w:val="5AB97888"/>
    <w:rsid w:val="62586DC9"/>
    <w:rsid w:val="629022F5"/>
    <w:rsid w:val="6D7F729F"/>
    <w:rsid w:val="6ED01E45"/>
    <w:rsid w:val="6F9A0143"/>
    <w:rsid w:val="72F46A8B"/>
    <w:rsid w:val="75C743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6"/>
    <w:autoRedefine/>
    <w:qFormat/>
    <w:uiPriority w:val="9"/>
    <w:pPr>
      <w:keepNext/>
      <w:keepLines/>
      <w:spacing w:before="340" w:after="330" w:line="578" w:lineRule="auto"/>
      <w:outlineLvl w:val="0"/>
    </w:pPr>
    <w:rPr>
      <w:b/>
      <w:bCs/>
      <w:kern w:val="44"/>
      <w:sz w:val="44"/>
      <w:szCs w:val="44"/>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semiHidden/>
    <w:qFormat/>
    <w:uiPriority w:val="0"/>
    <w:pPr>
      <w:ind w:firstLine="420" w:firstLineChars="200"/>
    </w:pPr>
  </w:style>
  <w:style w:type="paragraph" w:styleId="3">
    <w:name w:val="Body Text Indent"/>
    <w:basedOn w:val="1"/>
    <w:qFormat/>
    <w:uiPriority w:val="0"/>
    <w:pPr>
      <w:spacing w:line="600" w:lineRule="exact"/>
      <w:ind w:firstLine="480"/>
    </w:pPr>
    <w:rPr>
      <w:rFonts w:ascii="宋体" w:hAnsi="宋体"/>
      <w:szCs w:val="20"/>
    </w:rPr>
  </w:style>
  <w:style w:type="paragraph" w:styleId="5">
    <w:name w:val="footer"/>
    <w:basedOn w:val="1"/>
    <w:link w:val="13"/>
    <w:autoRedefine/>
    <w:unhideWhenUsed/>
    <w:qFormat/>
    <w:uiPriority w:val="99"/>
    <w:pPr>
      <w:tabs>
        <w:tab w:val="center" w:pos="4153"/>
        <w:tab w:val="right" w:pos="8306"/>
      </w:tabs>
      <w:snapToGrid w:val="0"/>
      <w:jc w:val="left"/>
    </w:pPr>
    <w:rPr>
      <w:sz w:val="18"/>
      <w:szCs w:val="18"/>
    </w:rPr>
  </w:style>
  <w:style w:type="paragraph" w:styleId="6">
    <w:name w:val="header"/>
    <w:basedOn w:val="1"/>
    <w:link w:val="1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link w:val="18"/>
    <w:autoRedefine/>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Emphasis"/>
    <w:basedOn w:val="10"/>
    <w:qFormat/>
    <w:uiPriority w:val="20"/>
    <w:rPr>
      <w:i/>
    </w:rPr>
  </w:style>
  <w:style w:type="character" w:customStyle="1" w:styleId="12">
    <w:name w:val="页眉 字符"/>
    <w:basedOn w:val="10"/>
    <w:link w:val="6"/>
    <w:autoRedefine/>
    <w:qFormat/>
    <w:uiPriority w:val="99"/>
    <w:rPr>
      <w:sz w:val="18"/>
      <w:szCs w:val="18"/>
    </w:rPr>
  </w:style>
  <w:style w:type="character" w:customStyle="1" w:styleId="13">
    <w:name w:val="页脚 字符"/>
    <w:basedOn w:val="10"/>
    <w:link w:val="5"/>
    <w:autoRedefine/>
    <w:qFormat/>
    <w:uiPriority w:val="99"/>
    <w:rPr>
      <w:sz w:val="18"/>
      <w:szCs w:val="18"/>
    </w:rPr>
  </w:style>
  <w:style w:type="paragraph" w:customStyle="1" w:styleId="14">
    <w:name w:val=".一级标题1"/>
    <w:basedOn w:val="4"/>
    <w:link w:val="17"/>
    <w:autoRedefine/>
    <w:qFormat/>
    <w:uiPriority w:val="0"/>
    <w:rPr>
      <w:rFonts w:eastAsia="仿宋"/>
      <w:sz w:val="28"/>
    </w:rPr>
  </w:style>
  <w:style w:type="paragraph" w:customStyle="1" w:styleId="15">
    <w:name w:val="二级标题1"/>
    <w:basedOn w:val="7"/>
    <w:next w:val="1"/>
    <w:link w:val="19"/>
    <w:autoRedefine/>
    <w:qFormat/>
    <w:uiPriority w:val="0"/>
    <w:rPr>
      <w:rFonts w:eastAsia="仿宋"/>
      <w:sz w:val="28"/>
    </w:rPr>
  </w:style>
  <w:style w:type="character" w:customStyle="1" w:styleId="16">
    <w:name w:val="标题 1 字符"/>
    <w:basedOn w:val="10"/>
    <w:link w:val="4"/>
    <w:autoRedefine/>
    <w:qFormat/>
    <w:uiPriority w:val="9"/>
    <w:rPr>
      <w:b/>
      <w:bCs/>
      <w:kern w:val="44"/>
      <w:sz w:val="44"/>
      <w:szCs w:val="44"/>
    </w:rPr>
  </w:style>
  <w:style w:type="character" w:customStyle="1" w:styleId="17">
    <w:name w:val=".一级标题1 字符"/>
    <w:basedOn w:val="16"/>
    <w:link w:val="14"/>
    <w:autoRedefine/>
    <w:qFormat/>
    <w:uiPriority w:val="0"/>
    <w:rPr>
      <w:rFonts w:eastAsia="仿宋"/>
      <w:kern w:val="44"/>
      <w:sz w:val="28"/>
      <w:szCs w:val="44"/>
    </w:rPr>
  </w:style>
  <w:style w:type="character" w:customStyle="1" w:styleId="18">
    <w:name w:val="普通(网站) 字符"/>
    <w:basedOn w:val="10"/>
    <w:link w:val="7"/>
    <w:autoRedefine/>
    <w:semiHidden/>
    <w:qFormat/>
    <w:uiPriority w:val="99"/>
    <w:rPr>
      <w:rFonts w:ascii="宋体" w:hAnsi="宋体" w:eastAsia="宋体" w:cs="宋体"/>
      <w:kern w:val="0"/>
      <w:sz w:val="24"/>
      <w:szCs w:val="24"/>
    </w:rPr>
  </w:style>
  <w:style w:type="character" w:customStyle="1" w:styleId="19">
    <w:name w:val="二级标题1 字符"/>
    <w:basedOn w:val="18"/>
    <w:link w:val="15"/>
    <w:autoRedefine/>
    <w:qFormat/>
    <w:uiPriority w:val="0"/>
    <w:rPr>
      <w:rFonts w:ascii="宋体" w:hAnsi="宋体" w:eastAsia="仿宋" w:cs="宋体"/>
      <w:kern w:val="0"/>
      <w:sz w:val="28"/>
      <w:szCs w:val="24"/>
    </w:rPr>
  </w:style>
  <w:style w:type="character" w:customStyle="1" w:styleId="20">
    <w:name w:val="font61"/>
    <w:basedOn w:val="10"/>
    <w:autoRedefine/>
    <w:qFormat/>
    <w:uiPriority w:val="0"/>
    <w:rPr>
      <w:rFonts w:hint="eastAsia" w:ascii="宋体" w:hAnsi="宋体" w:eastAsia="宋体" w:cs="宋体"/>
      <w:color w:val="FF0000"/>
      <w:sz w:val="22"/>
      <w:szCs w:val="22"/>
      <w:u w:val="none"/>
    </w:rPr>
  </w:style>
  <w:style w:type="character" w:customStyle="1" w:styleId="21">
    <w:name w:val="font01"/>
    <w:basedOn w:val="10"/>
    <w:autoRedefine/>
    <w:qFormat/>
    <w:uiPriority w:val="0"/>
    <w:rPr>
      <w:rFonts w:hint="eastAsia" w:ascii="宋体" w:hAnsi="宋体" w:eastAsia="宋体" w:cs="宋体"/>
      <w:color w:val="000000"/>
      <w:sz w:val="22"/>
      <w:szCs w:val="22"/>
      <w:u w:val="none"/>
    </w:rPr>
  </w:style>
  <w:style w:type="character" w:customStyle="1" w:styleId="22">
    <w:name w:val="font91"/>
    <w:basedOn w:val="10"/>
    <w:autoRedefine/>
    <w:qFormat/>
    <w:uiPriority w:val="0"/>
    <w:rPr>
      <w:rFonts w:hint="eastAsia" w:ascii="宋体" w:hAnsi="宋体" w:eastAsia="宋体" w:cs="宋体"/>
      <w:color w:val="000000"/>
      <w:sz w:val="22"/>
      <w:szCs w:val="22"/>
      <w:u w:val="none"/>
    </w:rPr>
  </w:style>
  <w:style w:type="character" w:customStyle="1" w:styleId="23">
    <w:name w:val="font71"/>
    <w:basedOn w:val="10"/>
    <w:autoRedefine/>
    <w:qFormat/>
    <w:uiPriority w:val="0"/>
    <w:rPr>
      <w:rFonts w:hint="eastAsia" w:ascii="宋体" w:hAnsi="宋体" w:eastAsia="宋体" w:cs="宋体"/>
      <w:color w:val="FF0000"/>
      <w:sz w:val="20"/>
      <w:szCs w:val="20"/>
      <w:u w:val="none"/>
    </w:rPr>
  </w:style>
  <w:style w:type="character" w:customStyle="1" w:styleId="24">
    <w:name w:val="font81"/>
    <w:basedOn w:val="10"/>
    <w:autoRedefine/>
    <w:qFormat/>
    <w:uiPriority w:val="0"/>
    <w:rPr>
      <w:rFonts w:hint="eastAsia" w:ascii="宋体" w:hAnsi="宋体" w:eastAsia="宋体" w:cs="宋体"/>
      <w:color w:val="000000"/>
      <w:sz w:val="20"/>
      <w:szCs w:val="20"/>
      <w:u w:val="none"/>
    </w:rPr>
  </w:style>
  <w:style w:type="paragraph" w:customStyle="1" w:styleId="25">
    <w:name w:val="二级条标题"/>
    <w:basedOn w:val="26"/>
    <w:next w:val="27"/>
    <w:qFormat/>
    <w:uiPriority w:val="0"/>
    <w:pPr>
      <w:numPr>
        <w:ilvl w:val="2"/>
      </w:numPr>
      <w:spacing w:before="50" w:after="50"/>
      <w:outlineLvl w:val="3"/>
    </w:pPr>
  </w:style>
  <w:style w:type="paragraph" w:customStyle="1" w:styleId="26">
    <w:name w:val="一级条标题"/>
    <w:next w:val="27"/>
    <w:autoRedefine/>
    <w:qFormat/>
    <w:uiPriority w:val="0"/>
    <w:pPr>
      <w:numPr>
        <w:ilvl w:val="1"/>
        <w:numId w:val="1"/>
      </w:numPr>
      <w:spacing w:beforeLines="50" w:afterLines="50"/>
      <w:outlineLvl w:val="2"/>
    </w:pPr>
    <w:rPr>
      <w:rFonts w:ascii="黑体" w:hAnsi="Times New Roman" w:eastAsia="黑体" w:cs="Times New Roman"/>
      <w:sz w:val="21"/>
      <w:szCs w:val="21"/>
      <w:lang w:val="en-US" w:eastAsia="zh-CN" w:bidi="ar-SA"/>
    </w:rPr>
  </w:style>
  <w:style w:type="paragraph" w:customStyle="1" w:styleId="27">
    <w:name w:val="段"/>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2930</Words>
  <Characters>2998</Characters>
  <Lines>24</Lines>
  <Paragraphs>7</Paragraphs>
  <TotalTime>14</TotalTime>
  <ScaleCrop>false</ScaleCrop>
  <LinksUpToDate>false</LinksUpToDate>
  <CharactersWithSpaces>3017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2023-06-26T02:29:00Z</dcterms:created>
  <dc:creator>朱明</dc:creator>
  <cp:lastModifiedBy>银冬里的盛夏</cp:lastModifiedBy>
  <dcterms:modified xsi:type="dcterms:W3CDTF">2026-09-21T07:47:28Z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C0002C0F163A44FBAD3479E16CAF7884_13</vt:lpwstr>
  </property>
  <property fmtid="{D5CDD505-2E9C-101B-9397-08002B2CF9AE}" pid="4" name="KSOTemplateDocerSaveRecord">
    <vt:lpwstr>eyJoZGlkIjoiOGQ1Mjk0OWJhNWVjYWRkMDM3YTNkN2ZmMzc3NjlkMDIiLCJ1c2VySWQiOiIzNTA5Nzc4MzgifQ==</vt:lpwstr>
  </property>
</Properties>
</file>